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5E1F8C" w14:textId="33730AC6" w:rsidR="0027400A" w:rsidRPr="00F824C4" w:rsidRDefault="005F1C9E" w:rsidP="00F824C4">
      <w:pPr>
        <w:spacing w:line="360" w:lineRule="auto"/>
        <w:rPr>
          <w:b/>
          <w:sz w:val="22"/>
          <w:szCs w:val="22"/>
        </w:rPr>
      </w:pPr>
      <w:r w:rsidRPr="00B86B4D">
        <w:rPr>
          <w:b/>
          <w:sz w:val="22"/>
          <w:szCs w:val="22"/>
        </w:rPr>
        <w:t>Supplementary Methods</w:t>
      </w:r>
      <w:r w:rsidR="00B86B4D" w:rsidRPr="00B86B4D">
        <w:rPr>
          <w:b/>
          <w:sz w:val="22"/>
          <w:szCs w:val="22"/>
        </w:rPr>
        <w:t xml:space="preserve"> II.</w:t>
      </w:r>
      <w:r w:rsidRPr="00B86B4D">
        <w:rPr>
          <w:b/>
          <w:sz w:val="22"/>
          <w:szCs w:val="22"/>
        </w:rPr>
        <w:t xml:space="preserve"> </w:t>
      </w:r>
      <w:r w:rsidR="00F06B79" w:rsidRPr="00B86B4D">
        <w:rPr>
          <w:rFonts w:eastAsia="Times New Roman"/>
          <w:b/>
          <w:color w:val="000033"/>
          <w:sz w:val="22"/>
          <w:szCs w:val="22"/>
          <w:shd w:val="clear" w:color="auto" w:fill="FFFFFF"/>
        </w:rPr>
        <w:t>M</w:t>
      </w:r>
      <w:r w:rsidRPr="00B86B4D">
        <w:rPr>
          <w:rFonts w:eastAsia="Times New Roman"/>
          <w:b/>
          <w:color w:val="000033"/>
          <w:sz w:val="22"/>
          <w:szCs w:val="22"/>
          <w:shd w:val="clear" w:color="auto" w:fill="FFFFFF"/>
        </w:rPr>
        <w:t xml:space="preserve">ethodological and </w:t>
      </w:r>
      <w:r w:rsidR="00F06B79" w:rsidRPr="00B86B4D">
        <w:rPr>
          <w:rFonts w:eastAsia="Times New Roman"/>
          <w:b/>
          <w:color w:val="000033"/>
          <w:sz w:val="22"/>
          <w:szCs w:val="22"/>
          <w:shd w:val="clear" w:color="auto" w:fill="FFFFFF"/>
        </w:rPr>
        <w:t xml:space="preserve">Analytical </w:t>
      </w:r>
    </w:p>
    <w:p w14:paraId="523660EB" w14:textId="77777777" w:rsidR="00E75219" w:rsidRPr="001700A7" w:rsidRDefault="00E75219" w:rsidP="001700A7">
      <w:pPr>
        <w:spacing w:line="360" w:lineRule="auto"/>
        <w:ind w:firstLine="720"/>
        <w:outlineLvl w:val="0"/>
        <w:rPr>
          <w:i/>
          <w:color w:val="000000" w:themeColor="text1"/>
          <w:sz w:val="22"/>
          <w:szCs w:val="22"/>
        </w:rPr>
      </w:pPr>
      <w:r w:rsidRPr="001700A7">
        <w:rPr>
          <w:i/>
          <w:color w:val="000000" w:themeColor="text1"/>
          <w:sz w:val="22"/>
          <w:szCs w:val="22"/>
        </w:rPr>
        <w:t xml:space="preserve">Study Population </w:t>
      </w:r>
    </w:p>
    <w:p w14:paraId="7385098A" w14:textId="77777777" w:rsidR="00E75219" w:rsidRPr="00B86B4D" w:rsidRDefault="00E75219" w:rsidP="00F824C4">
      <w:pPr>
        <w:spacing w:line="360" w:lineRule="auto"/>
        <w:rPr>
          <w:sz w:val="22"/>
          <w:szCs w:val="22"/>
        </w:rPr>
      </w:pPr>
      <w:r w:rsidRPr="00B86B4D">
        <w:rPr>
          <w:sz w:val="22"/>
          <w:szCs w:val="22"/>
        </w:rPr>
        <w:t xml:space="preserve">     Clinical, protein, and genetic </w:t>
      </w:r>
      <w:hyperlink r:id="rId5" w:history="1">
        <w:r w:rsidRPr="00B86B4D">
          <w:rPr>
            <w:rStyle w:val="Hyperlink"/>
            <w:sz w:val="22"/>
            <w:szCs w:val="22"/>
          </w:rPr>
          <w:t>biomarker</w:t>
        </w:r>
      </w:hyperlink>
      <w:r w:rsidRPr="00B86B4D">
        <w:rPr>
          <w:sz w:val="22"/>
          <w:szCs w:val="22"/>
        </w:rPr>
        <w:t xml:space="preserve"> samples were from participants of the longitudinal study in aging </w:t>
      </w:r>
      <w:proofErr w:type="spellStart"/>
      <w:r w:rsidRPr="00B86B4D">
        <w:rPr>
          <w:i/>
          <w:sz w:val="22"/>
          <w:szCs w:val="22"/>
        </w:rPr>
        <w:t>Invecchiare</w:t>
      </w:r>
      <w:proofErr w:type="spellEnd"/>
      <w:r w:rsidRPr="00B86B4D">
        <w:rPr>
          <w:i/>
          <w:sz w:val="22"/>
          <w:szCs w:val="22"/>
        </w:rPr>
        <w:t xml:space="preserve"> in Chianti</w:t>
      </w:r>
      <w:r w:rsidRPr="00B86B4D">
        <w:rPr>
          <w:sz w:val="22"/>
          <w:szCs w:val="22"/>
        </w:rPr>
        <w:t xml:space="preserve"> (Aging in Chianti, “</w:t>
      </w:r>
      <w:proofErr w:type="spellStart"/>
      <w:r w:rsidRPr="00B86B4D">
        <w:rPr>
          <w:sz w:val="22"/>
          <w:szCs w:val="22"/>
        </w:rPr>
        <w:t>InCHIANTI</w:t>
      </w:r>
      <w:proofErr w:type="spellEnd"/>
      <w:r w:rsidRPr="00B86B4D">
        <w:rPr>
          <w:sz w:val="22"/>
          <w:szCs w:val="22"/>
        </w:rPr>
        <w:t xml:space="preserve"> Study”), collected at baseline study entry from 1998-2000. This group is a representative sample (n=1,453) of the population of white European origin from two small towns in Tuscany, Italy. The primary aim of the </w:t>
      </w:r>
      <w:proofErr w:type="spellStart"/>
      <w:r w:rsidRPr="00B86B4D">
        <w:rPr>
          <w:sz w:val="22"/>
          <w:szCs w:val="22"/>
        </w:rPr>
        <w:t>InCHIANTI</w:t>
      </w:r>
      <w:proofErr w:type="spellEnd"/>
      <w:r w:rsidRPr="00B86B4D">
        <w:rPr>
          <w:sz w:val="22"/>
          <w:szCs w:val="22"/>
        </w:rPr>
        <w:t xml:space="preserve"> study was to evaluate physical function and mobility in older community-dwelling individuals. A detailed description of the study design, data collection, and sampling procedure are published elsewhere.</w:t>
      </w:r>
      <w:r w:rsidRPr="00B86B4D">
        <w:rPr>
          <w:sz w:val="22"/>
          <w:szCs w:val="22"/>
        </w:rPr>
        <w:fldChar w:fldCharType="begin" w:fldLock="1"/>
      </w:r>
      <w:r w:rsidRPr="00B86B4D">
        <w:rPr>
          <w:sz w:val="22"/>
          <w:szCs w:val="22"/>
        </w:rPr>
        <w:instrText>ADDIN CSL_CITATION {"citationItems":[{"id":"ITEM-1","itemData":{"ISSN":"0002-8614","PMID":"11129752","abstract":"BACKGROUND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author":[{"dropping-particle":"","family":"Ferrucci","given":"L","non-dropping-particle":"","parse-names":false,"suffix":""},{"dropping-particle":"","family":"Bandinelli","given":"S","non-dropping-particle":"","parse-names":false,"suffix":""},{"dropping-particle":"","family":"Benvenuti","given":"E","non-dropping-particle":"","parse-names":false,"suffix":""},{"dropping-particle":"","family":"Iorio","given":"A","non-dropping-particle":"Di","parse-names":false,"suffix":""},{"dropping-particle":"","family":"Macchi","given":"C","non-dropping-particle":"","parse-names":false,"suffix":""},{"dropping-particle":"","family":"Harris","given":"T B","non-dropping-particle":"","parse-names":false,"suffix":""},{"dropping-particle":"","family":"Guralnik","given":"J M","non-dropping-particle":"","parse-names":false,"suffix":""}],"container-title":"Journal of the American Geriatrics Society","id":"ITEM-1","issue":"12","issued":{"date-parts":[["2000","12"]]},"page":"1618-25","title":"Subsystems contributing to the decline in ability to walk: bridging the gap between epidemiology and geriatric practice in the InCHIANTI study.","type":"article-journal","volume":"48"},"uris":["http://www.mendeley.com/documents/?uuid=0a67f22a-3cb2-3a55-a96b-ea3466700ccd","http://www.mendeley.com/documents/?uuid=adc4c03d-6138-40d1-a0b2-df21ee61229c"]}],"mendeley":{"formattedCitation":"&lt;sup&gt;18&lt;/sup&gt;","plainTextFormattedCitation":"18","previouslyFormattedCitation":"&lt;sup&gt;18&lt;/sup&gt;"},"properties":{"noteIndex":0},"schema":"https://github.com/citation-style-language/schema/raw/master/csl-citation.json"}</w:instrText>
      </w:r>
      <w:r w:rsidRPr="00B86B4D">
        <w:rPr>
          <w:sz w:val="22"/>
          <w:szCs w:val="22"/>
        </w:rPr>
        <w:fldChar w:fldCharType="separate"/>
      </w:r>
      <w:r w:rsidRPr="00B86B4D">
        <w:rPr>
          <w:noProof/>
          <w:sz w:val="22"/>
          <w:szCs w:val="22"/>
          <w:vertAlign w:val="superscript"/>
        </w:rPr>
        <w:t>18</w:t>
      </w:r>
      <w:r w:rsidRPr="00B86B4D">
        <w:rPr>
          <w:sz w:val="22"/>
          <w:szCs w:val="22"/>
        </w:rPr>
        <w:fldChar w:fldCharType="end"/>
      </w:r>
      <w:r w:rsidRPr="00B86B4D">
        <w:rPr>
          <w:sz w:val="22"/>
          <w:szCs w:val="22"/>
        </w:rPr>
        <w:t xml:space="preserve"> This secondary study was approved by the ethics committee at </w:t>
      </w:r>
      <w:r w:rsidRPr="00B86B4D">
        <w:rPr>
          <w:i/>
          <w:sz w:val="22"/>
          <w:szCs w:val="22"/>
        </w:rPr>
        <w:t>Centre de recherché Clinique du CHUS</w:t>
      </w:r>
      <w:r w:rsidRPr="00B86B4D">
        <w:rPr>
          <w:sz w:val="22"/>
          <w:szCs w:val="22"/>
        </w:rPr>
        <w:t xml:space="preserve"> and by the Institutional Review Board of the </w:t>
      </w:r>
      <w:proofErr w:type="spellStart"/>
      <w:r w:rsidRPr="00B86B4D">
        <w:rPr>
          <w:sz w:val="22"/>
          <w:szCs w:val="22"/>
        </w:rPr>
        <w:t>Azienda</w:t>
      </w:r>
      <w:proofErr w:type="spellEnd"/>
      <w:r w:rsidRPr="00B86B4D">
        <w:rPr>
          <w:sz w:val="22"/>
          <w:szCs w:val="22"/>
        </w:rPr>
        <w:t xml:space="preserve"> Sanitaria Area 10 Firenze; all participants consented to participate after having received a full description of the study project #548.</w:t>
      </w:r>
    </w:p>
    <w:p w14:paraId="51CBEC71" w14:textId="40ACCEAD" w:rsidR="00E75219" w:rsidRPr="00B86B4D" w:rsidRDefault="00E75219" w:rsidP="00F824C4">
      <w:pPr>
        <w:spacing w:line="360" w:lineRule="auto"/>
        <w:ind w:left="360"/>
        <w:rPr>
          <w:i/>
          <w:color w:val="000000" w:themeColor="text1"/>
          <w:sz w:val="22"/>
          <w:szCs w:val="22"/>
        </w:rPr>
      </w:pPr>
      <w:r w:rsidRPr="00B86B4D">
        <w:rPr>
          <w:i/>
          <w:color w:val="000000" w:themeColor="text1"/>
          <w:sz w:val="22"/>
          <w:szCs w:val="22"/>
        </w:rPr>
        <w:t xml:space="preserve">Predictive Measures </w:t>
      </w:r>
    </w:p>
    <w:p w14:paraId="173A87E4" w14:textId="77777777" w:rsidR="00E75219" w:rsidRPr="00B86B4D" w:rsidRDefault="00E75219" w:rsidP="00F824C4">
      <w:pPr>
        <w:spacing w:line="360" w:lineRule="auto"/>
        <w:rPr>
          <w:color w:val="000000" w:themeColor="text1"/>
          <w:sz w:val="22"/>
          <w:szCs w:val="22"/>
          <w:vertAlign w:val="superscript"/>
        </w:rPr>
      </w:pPr>
      <w:r w:rsidRPr="00B86B4D">
        <w:rPr>
          <w:rFonts w:eastAsia="Arial"/>
          <w:color w:val="000000" w:themeColor="text1"/>
          <w:sz w:val="22"/>
          <w:szCs w:val="22"/>
        </w:rPr>
        <w:t>The International Consensus Group’s (I.A.A.A. /I.A.G.G.) list of potential biomarkers is not meant to be complete, accurate, or exhaustive.</w:t>
      </w:r>
      <w:r w:rsidRPr="00B86B4D">
        <w:rPr>
          <w:rFonts w:eastAsia="Arial"/>
          <w:color w:val="000000" w:themeColor="text1"/>
          <w:sz w:val="22"/>
          <w:szCs w:val="22"/>
        </w:rPr>
        <w:fldChar w:fldCharType="begin" w:fldLock="1"/>
      </w:r>
      <w:r w:rsidRPr="00B86B4D">
        <w:rPr>
          <w:rFonts w:eastAsia="Arial"/>
          <w:color w:val="000000" w:themeColor="text1"/>
          <w:sz w:val="22"/>
          <w:szCs w:val="22"/>
        </w:rPr>
        <w:instrText>ADDIN CSL_CITATION {"citationItems":[{"id":"ITEM-1","itemData":{"DOI":"10.1007/s12603-013-0367-2","ISSN":"1760-4788","PMID":"24154642","abstract":"The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author":[{"dropping-particle":"","family":"Kelaiditi","given":"E","non-dropping-particle":"","parse-names":false,"suffix":""},{"dropping-particle":"","family":"Cesari","given":"M","non-dropping-particle":"","parse-names":false,"suffix":""},{"dropping-particle":"","family":"Canevelli","given":"M","non-dropping-particle":"","parse-names":false,"suffix":""},{"dropping-particle":"","family":"Kan","given":"G Abellan","non-dropping-particle":"van","parse-names":false,"suffix":""},{"dropping-particle":"","family":"Ousset","given":"P-J","non-dropping-particle":"","parse-names":false,"suffix":""},{"dropping-particle":"","family":"Gillette-Guyonnet","given":"S","non-dropping-particle":"","parse-names":false,"suffix":""},{"dropping-particle":"","family":"Ritz","given":"P","non-dropping-particle":"","parse-names":false,"suffix":""},{"dropping-particle":"","family":"Duveau","given":"F","non-dropping-particle":"","parse-names":false,"suffix":""},{"dropping-particle":"","family":"Soto","given":"M E","non-dropping-particle":"","parse-names":false,"suffix":""},{"dropping-particle":"","family":"Provencher","given":"V","non-dropping-particle":"","parse-names":false,"suffix":""},{"dropping-particle":"","family":"Nourhashemi","given":"F","non-dropping-particle":"","parse-names":false,"suffix":""},{"dropping-particle":"","family":"Salvà","given":"A","non-dropping-particle":"","parse-names":false,"suffix":""},{"dropping-particle":"","family":"Robert","given":"P","non-dropping-particle":"","parse-names":false,"suffix":""},{"dropping-particle":"","family":"Andrieu","given":"S","non-dropping-particle":"","parse-names":false,"suffix":""},{"dropping-particle":"","family":"Rolland","given":"Y","non-dropping-particle":"","parse-names":false,"suffix":""},{"dropping-particle":"","family":"Touchon","given":"J","non-dropping-particle":"","parse-names":false,"suffix":""},{"dropping-particle":"","family":"Fitten","given":"J L","non-dropping-particle":"","parse-names":false,"suffix":""},{"dropping-particle":"","family":"Vellas","given":"B","non-dropping-particle":"","parse-names":false,"suffix":""}],"container-title":"The journal of nutrition, health &amp; aging","id":"ITEM-1","issue":"9","issued":{"date-parts":[["2013","9"]]},"page":"726-34","title":"Cognitive frailty: rational and definition from an (I.A.N.A./I.A.G.G.) international consensus group.","type":"article-journal","volume":"17"},"uris":["http://www.mendeley.com/documents/?uuid=a494df67-5f15-427d-ba1d-12f58f66b1b4","http://www.mendeley.com/documents/?uuid=e581566c-cec1-40c8-80fa-55ff3d31f28c"]}],"mendeley":{"formattedCitation":"&lt;sup&gt;1&lt;/sup&gt;","plainTextFormattedCitation":"1","previouslyFormattedCitation":"&lt;sup&gt;1&lt;/sup&gt;"},"properties":{"noteIndex":0},"schema":"https://github.com/citation-style-language/schema/raw/master/csl-citation.json"}</w:instrText>
      </w:r>
      <w:r w:rsidRPr="00B86B4D">
        <w:rPr>
          <w:rFonts w:eastAsia="Arial"/>
          <w:color w:val="000000" w:themeColor="text1"/>
          <w:sz w:val="22"/>
          <w:szCs w:val="22"/>
        </w:rPr>
        <w:fldChar w:fldCharType="separate"/>
      </w:r>
      <w:r w:rsidRPr="00B86B4D">
        <w:rPr>
          <w:rFonts w:eastAsia="Arial"/>
          <w:noProof/>
          <w:color w:val="000000" w:themeColor="text1"/>
          <w:sz w:val="22"/>
          <w:szCs w:val="22"/>
          <w:vertAlign w:val="superscript"/>
        </w:rPr>
        <w:t>1</w:t>
      </w:r>
      <w:r w:rsidRPr="00B86B4D">
        <w:rPr>
          <w:rFonts w:eastAsia="Arial"/>
          <w:color w:val="000000" w:themeColor="text1"/>
          <w:sz w:val="22"/>
          <w:szCs w:val="22"/>
        </w:rPr>
        <w:fldChar w:fldCharType="end"/>
      </w:r>
      <w:r w:rsidRPr="00B86B4D">
        <w:rPr>
          <w:rFonts w:eastAsia="Arial"/>
          <w:color w:val="000000" w:themeColor="text1"/>
          <w:sz w:val="22"/>
          <w:szCs w:val="22"/>
        </w:rPr>
        <w:t xml:space="preserve"> Our team used a previously published systematic review which identified shared biological markers for physical frailty and cognitive impairment, </w:t>
      </w:r>
      <w:r w:rsidRPr="00B86B4D">
        <w:rPr>
          <w:color w:val="000000" w:themeColor="text1"/>
          <w:sz w:val="22"/>
          <w:szCs w:val="22"/>
        </w:rPr>
        <w:t xml:space="preserve">a total of 289 variables were available in the </w:t>
      </w:r>
      <w:proofErr w:type="spellStart"/>
      <w:r w:rsidRPr="00B86B4D">
        <w:rPr>
          <w:color w:val="000000" w:themeColor="text1"/>
          <w:sz w:val="22"/>
          <w:szCs w:val="22"/>
        </w:rPr>
        <w:t>InCHIANTI</w:t>
      </w:r>
      <w:proofErr w:type="spellEnd"/>
      <w:r w:rsidRPr="00B86B4D">
        <w:rPr>
          <w:color w:val="000000" w:themeColor="text1"/>
          <w:sz w:val="22"/>
          <w:szCs w:val="22"/>
        </w:rPr>
        <w:t xml:space="preserve"> database.</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01b28bdd-ff34-4056-a194-72dbd343c684","http://www.mendeley.com/documents/?uuid=db89db83-5c66-330e-8453-0011398ee55e"]}],"mendeley":{"formattedCitation":"&lt;sup&gt;11&lt;/sup&gt;","plainTextFormattedCitation":"11","previouslyFormattedCitation":"&lt;sup&gt;11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11</w:t>
      </w:r>
      <w:r w:rsidRPr="00B86B4D">
        <w:rPr>
          <w:color w:val="000000" w:themeColor="text1"/>
          <w:sz w:val="22"/>
          <w:szCs w:val="22"/>
        </w:rPr>
        <w:fldChar w:fldCharType="end"/>
      </w:r>
      <w:r w:rsidRPr="00B86B4D">
        <w:rPr>
          <w:color w:val="000000" w:themeColor="text1"/>
          <w:sz w:val="22"/>
          <w:szCs w:val="22"/>
        </w:rPr>
        <w:t xml:space="preserve"> </w:t>
      </w:r>
    </w:p>
    <w:p w14:paraId="3B7BEB54"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w:t>
      </w:r>
      <w:r w:rsidRPr="00B86B4D">
        <w:rPr>
          <w:i/>
          <w:color w:val="000000" w:themeColor="text1"/>
          <w:sz w:val="22"/>
          <w:szCs w:val="22"/>
        </w:rPr>
        <w:t>Genetic and Protein Markers</w:t>
      </w:r>
      <w:r w:rsidRPr="00B86B4D">
        <w:rPr>
          <w:color w:val="000000" w:themeColor="text1"/>
          <w:sz w:val="22"/>
          <w:szCs w:val="22"/>
        </w:rPr>
        <w:t>: After removal of any variables with &gt; 12% missing data, there were 132 putative SNPs and 155 protein biomarkers. To build our model, we used protein markers with implications for clinical research and practice. Genetic risk score estimates (GRS) (i.e. the cumulative genetic risk burden estimated from SNPs of interest), were completed before including the individual single nucleotide polymorphisms (SNPs) in the final models (see GitHub supplementary material table III).</w:t>
      </w:r>
    </w:p>
    <w:p w14:paraId="1BFFC385"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w:t>
      </w:r>
      <w:r w:rsidRPr="00B86B4D">
        <w:rPr>
          <w:i/>
          <w:color w:val="000000" w:themeColor="text1"/>
          <w:sz w:val="22"/>
          <w:szCs w:val="22"/>
        </w:rPr>
        <w:t>Clinical Features</w:t>
      </w:r>
      <w:r w:rsidRPr="00B86B4D">
        <w:rPr>
          <w:color w:val="000000" w:themeColor="text1"/>
          <w:sz w:val="22"/>
          <w:szCs w:val="22"/>
        </w:rPr>
        <w:t>: Included age, sex, level of education, anticholinergic burden, and depressive symptoms. Anticholinergic medications were identified in the systematic review as a significant risk factor for cognitive impairment and physical frailty.</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RR.2018.08.001","ISSN":"1568-1637","author":[{"dropping-particle":"","family":"Sargent","given":"Lana","non-dropping-particle":"","parse-names":false,"suffix":""},{"dropping-particle":"","family":"Nalls","given":"Mike","non-dropping-particle":"","parse-names":false,"suffix":""},{"dropping-particle":"","family":"Starkweather","given":"Angela","non-dropping-particle":"","parse-names":false,"suffix":""},{"dropping-particle":"","family":"Hobgood","given":"Sarah","non-dropping-particle":"","parse-names":false,"suffix":""},{"dropping-particle":"","family":"Thompson","given":"Holly","non-dropping-particle":"","parse-names":false,"suffix":""},{"dropping-particle":"","family":"Amella","given":"Elaine J.","non-dropping-particle":"","parse-names":false,"suffix":""},{"dropping-particle":"","family":"Singleton","given":"Andrew","non-dropping-particle":"","parse-names":false,"suffix":""}],"container-title":"Ageing Research Reviews","id":"ITEM-1","issued":{"date-parts":[["2018","11","1"]]},"page":"149-158","publisher":"Elsevier","title":"Shared biological pathways for frailty and cognitive impairment: A systematic review","type":"article-journal","volume":"47"},"uris":["http://www.mendeley.com/documents/?uuid=01b28bdd-ff34-4056-a194-72dbd343c684","http://www.mendeley.com/documents/?uuid=db89db83-5c66-330e-8453-0011398ee55e"]}],"mendeley":{"formattedCitation":"&lt;sup&gt;11&lt;/sup&gt;","plainTextFormattedCitation":"11","previouslyFormattedCitation":"&lt;sup&gt;11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11</w:t>
      </w:r>
      <w:r w:rsidRPr="00B86B4D">
        <w:rPr>
          <w:color w:val="000000" w:themeColor="text1"/>
          <w:sz w:val="22"/>
          <w:szCs w:val="22"/>
        </w:rPr>
        <w:fldChar w:fldCharType="end"/>
      </w:r>
      <w:r w:rsidRPr="00B86B4D">
        <w:rPr>
          <w:color w:val="000000" w:themeColor="text1"/>
          <w:sz w:val="22"/>
          <w:szCs w:val="22"/>
        </w:rPr>
        <w:t xml:space="preserve"> Anticholinergic burden was calculated using the Anticholinergic Cognitive Burden Scale (ACB) and examined as a predictor.</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{"citationItems":[{"id":"ITEM-1","itemData":{"DOI":"10.2217/1745509X.4.3.311","ISBN":"1745-509X","ISSN":"1745-509X","PMID":"2008361540","abstract":"Objective: in an effort to enhance medication prescribing for older adults and reduce the burden of cognitive impairment, this paper reviews the literature regarding the negative impact of anticholinergics on cognitive function and provides clinicians with a practical guidance for anticholinergic use in older adults. Methods: a Medline search identified studies evaluating the use of anticholinergics and the relationship between anticholinergics and cognitive impairment. Results: prescribing anticholinergics for older adults leads to acute cognitive impairment and, possibly, chronic cognitive deficits. Assessing anticholinergic burden with a simple scale may represent a useful noninvasive tool to optimize geriatric pharmacotherapy. Conclusion: more studies are needed to validate the Anticholinergic Cognitive Burden scale and establish therapeutic guidelines in the presence of cognitive anticholinergic adverse effects.","author":[{"dropping-particle":"","family":"Boustani","given":"Malaz","non-dropping-particle":"","parse-names":false,"suffix":""},{"dropping-particle":"","family":"Campbell","given":"Noll","non-dropping-particle":"","parse-names":false,"suffix":""},{"dropping-particle":"","family":"Munger","given":"Stephanie","non-dropping-particle":"","parse-names":false,"suffix":""},{"dropping-particle":"","family":"Maidment","given":"Ian","non-dropping-particle":"","parse-names":false,"suffix":""},{"dropping-particle":"","family":"Fox","given":"Chris","non-dropping-particle":"","parse-names":false,"suffix":""}],"container-title":"Aging Health","id":"ITEM-1","issue":"3","issued":{"date-parts":[["2008"]]},"page":"311-320","title":"Impact of anticholinergics on the aging brain: a review and practical application","type":"article-journal","volume":"4"},"uris":["http://www.mendeley.com/documents/?uuid=8202324c-333d-4733-aaa8-3d70d4333b00","http://www.mendeley.com/documents/?uuid=95e34681-9212-42cb-9ad2-b7a647c3d208"]}],"mendeley":{"formattedCitation":"&lt;sup&gt;19&lt;/sup&gt;","plainTextFormattedCitation":"19","previouslyFormattedCitation":"&lt;sup&gt;19&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19</w:t>
      </w:r>
      <w:r w:rsidRPr="00B86B4D">
        <w:rPr>
          <w:color w:val="000000" w:themeColor="text1"/>
          <w:sz w:val="22"/>
          <w:szCs w:val="22"/>
        </w:rPr>
        <w:fldChar w:fldCharType="end"/>
      </w:r>
      <w:r w:rsidRPr="00B86B4D">
        <w:rPr>
          <w:color w:val="000000" w:themeColor="text1"/>
          <w:sz w:val="22"/>
          <w:szCs w:val="22"/>
        </w:rPr>
        <w:t xml:space="preserve"> Current depressive symptomatology was measured using the Center for Epidemiologic Studies Depression Scale (CES-D) self-report scale (0-60), with cutoff points 16 or greater indicating depression.</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{"citationItems":[{"id":"ITEM-1","itemData":{"DOI":"10.1037/0882-7974.12.2.277","ISSN":"1939-1498","author":[{"dropping-particle":"","family":"Lewinsohn","given":"Peter M.","non-dropping-particle":"","parse-names":false,"suffix":""},{"dropping-particle":"","family":"Seeley","given":"John R.","non-dropping-particle":"","parse-names":false,"suffix":""},{"dropping-particle":"","family":"Roberts","given":"Robert E.","non-dropping-particle":"","parse-names":false,"suffix":""},{"dropping-particle":"","family":"Allen","given":"Nicholas B.","non-dropping-particle":"","parse-names":false,"suffix":""}],"container-title":"Psychology and Aging","id":"ITEM-1","issue":"2","issued":{"date-parts":[["1997"]]},"page":"277-287","publisher":"US: American Psychological Association","title":"Center for Epidemiologic Studies Depression Scale (CES-D) as a screening instrument for depression among community-residing older adults.","type":"article-journal","volume":"12"},"uris":["http://www.mendeley.com/documents/?uuid=c88df4da-3698-39f0-b298-3caa0c46cbf0","http://www.mendeley.com/documents/?uuid=902701a8-a0b7-4072-bc7a-5bf04e75ad1b"]}],"mendeley":{"formattedCitation":"&lt;sup&gt;20&lt;/sup&gt;","plainTextFormattedCitation":"20","previouslyFormattedCitation":"&lt;sup&gt;20&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20</w:t>
      </w:r>
      <w:r w:rsidRPr="00B86B4D">
        <w:rPr>
          <w:color w:val="000000" w:themeColor="text1"/>
          <w:sz w:val="22"/>
          <w:szCs w:val="22"/>
        </w:rPr>
        <w:fldChar w:fldCharType="end"/>
      </w:r>
      <w:r w:rsidRPr="00B86B4D">
        <w:rPr>
          <w:color w:val="000000" w:themeColor="text1"/>
          <w:sz w:val="22"/>
          <w:szCs w:val="22"/>
        </w:rPr>
        <w:t xml:space="preserve"> Reliability, validity, and factor structure have been similar across a diverse demographic and the scale has been used extensively in epidemiologic studies for depression and physical function.</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{"citationItems":[{"id":"ITEM-1","itemData":{"DOI":"10.1177/014662167700100306","ISBN":"0146-6216","ISSN":"0146-6216","PMID":"4822","abstract":"The CES-D scale is a short self-report scale designed to measure depressive symptomatology in the general population. The items of the scale are symptoms associated with depression which have been used in previously validated longer scales. The new scale was tested in household interview surveys and in psychiatric settings. It was found to have very high internal consistency and adequate test- retest repeatability. Validity was established by pat terns of correlations with other self-report measures, by correlations with clinical ratings of depression, and by relationships with other variables which support its construct validity. Reliability, validity, and factor structure were similar across a wide variety of demographic characteristics in the general population samples tested. The scale should be a useful tool for epidemiologic studies of de pression.","author":[{"dropping-particle":"","family":"Radloff","given":"Lenore Sawyer","non-dropping-particle":"","parse-names":false,"suffix":""}],"container-title":"Appl. Psychol. Meas.","id":"ITEM-1","issue":"3","issued":{"date-parts":[["1977"]]},"page":"385-401","title":"A Self-Report Depression Scale for Research in the General Population","type":"article-journal","volume":"1"},"uris":["http://www.mendeley.com/documents/?uuid=09c3bbeb-5b8d-4ca4-be97-659dcb8626cf","http://www.mendeley.com/documents/?uuid=6ea93a81-e28e-4d76-8578-60d69d2ae84d"]}],"mendeley":{"formattedCitation":"&lt;sup&gt;21&lt;/sup&gt;","plainTextFormattedCitation":"21","previouslyFormattedCitation":"&lt;sup&gt;21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21</w:t>
      </w:r>
      <w:r w:rsidRPr="00B86B4D">
        <w:rPr>
          <w:color w:val="000000" w:themeColor="text1"/>
          <w:sz w:val="22"/>
          <w:szCs w:val="22"/>
        </w:rPr>
        <w:fldChar w:fldCharType="end"/>
      </w:r>
      <w:r w:rsidRPr="00B86B4D">
        <w:rPr>
          <w:color w:val="000000" w:themeColor="text1"/>
          <w:sz w:val="22"/>
          <w:szCs w:val="22"/>
        </w:rPr>
        <w:t xml:space="preserve"> </w:t>
      </w:r>
    </w:p>
    <w:p w14:paraId="3DFC7C2A" w14:textId="0B8CAB40" w:rsidR="00E75219" w:rsidRPr="00B86B4D" w:rsidRDefault="00E75219" w:rsidP="00F824C4">
      <w:pPr>
        <w:spacing w:line="360" w:lineRule="auto"/>
        <w:ind w:left="360"/>
        <w:rPr>
          <w:i/>
          <w:color w:val="000000" w:themeColor="text1"/>
          <w:sz w:val="22"/>
          <w:szCs w:val="22"/>
        </w:rPr>
      </w:pPr>
      <w:r w:rsidRPr="00B86B4D">
        <w:rPr>
          <w:i/>
          <w:color w:val="000000" w:themeColor="text1"/>
          <w:sz w:val="22"/>
          <w:szCs w:val="22"/>
        </w:rPr>
        <w:t>Outcome Measure</w:t>
      </w:r>
    </w:p>
    <w:p w14:paraId="1A342F9A" w14:textId="77777777" w:rsidR="00E75219" w:rsidRPr="00B86B4D" w:rsidRDefault="00E75219" w:rsidP="00F824C4">
      <w:pPr>
        <w:spacing w:line="360" w:lineRule="auto"/>
        <w:rPr>
          <w:color w:val="000000" w:themeColor="text1"/>
          <w:sz w:val="22"/>
          <w:szCs w:val="22"/>
        </w:rPr>
      </w:pPr>
      <w:r w:rsidRPr="00B86B4D">
        <w:rPr>
          <w:i/>
          <w:color w:val="000000" w:themeColor="text1"/>
          <w:sz w:val="22"/>
          <w:szCs w:val="22"/>
        </w:rPr>
        <w:t>Cognitive Frailty Measures</w:t>
      </w:r>
      <w:r w:rsidRPr="00B86B4D">
        <w:rPr>
          <w:color w:val="000000" w:themeColor="text1"/>
          <w:sz w:val="22"/>
          <w:szCs w:val="22"/>
        </w:rPr>
        <w:t xml:space="preserve">: Three instruments were used to measure neuropsychological function of cognitive frailty as determined by </w:t>
      </w:r>
      <w:r w:rsidRPr="00B86B4D">
        <w:rPr>
          <w:noProof/>
          <w:color w:val="000000" w:themeColor="text1"/>
          <w:sz w:val="22"/>
          <w:szCs w:val="22"/>
        </w:rPr>
        <w:t>Delrieu et al.</w:t>
      </w:r>
      <w:r w:rsidRPr="00B86B4D">
        <w:rPr>
          <w:noProof/>
          <w:color w:val="000000" w:themeColor="text1"/>
          <w:sz w:val="22"/>
          <w:szCs w:val="22"/>
        </w:rPr>
        <w:fldChar w:fldCharType="begin" w:fldLock="1"/>
      </w:r>
      <w:r w:rsidRPr="00B86B4D">
        <w:rPr>
          <w:noProof/>
          <w:color w:val="000000" w:themeColor="text1"/>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eb6552f4-eb74-4787-a363-adae5a8bd76f","http://www.mendeley.com/documents/?uuid=9782a8e3-1f92-4863-bd71-11a61c5c3cca"]}],"mendeley":{"formattedCitation":"&lt;sup&gt;22&lt;/sup&gt;","plainTextFormattedCitation":"22","previouslyFormattedCitation":"&lt;sup&gt;22&lt;/sup&gt;"},"properties":{"noteIndex":0},"schema":"https://github.com/citation-style-language/schema/raw/master/csl-citation.json"}</w:instrText>
      </w:r>
      <w:r w:rsidRPr="00B86B4D">
        <w:rPr>
          <w:noProof/>
          <w:color w:val="000000" w:themeColor="text1"/>
          <w:sz w:val="22"/>
          <w:szCs w:val="22"/>
        </w:rPr>
        <w:fldChar w:fldCharType="separate"/>
      </w:r>
      <w:r w:rsidRPr="00B86B4D">
        <w:rPr>
          <w:noProof/>
          <w:color w:val="000000" w:themeColor="text1"/>
          <w:sz w:val="22"/>
          <w:szCs w:val="22"/>
          <w:vertAlign w:val="superscript"/>
        </w:rPr>
        <w:t>22</w:t>
      </w:r>
      <w:r w:rsidRPr="00B86B4D">
        <w:rPr>
          <w:noProof/>
          <w:color w:val="000000" w:themeColor="text1"/>
          <w:sz w:val="22"/>
          <w:szCs w:val="22"/>
        </w:rPr>
        <w:fldChar w:fldCharType="end"/>
      </w:r>
      <w:r w:rsidRPr="00B86B4D">
        <w:rPr>
          <w:noProof/>
          <w:color w:val="000000" w:themeColor="text1"/>
          <w:sz w:val="22"/>
          <w:szCs w:val="22"/>
        </w:rPr>
        <w:t xml:space="preserve"> </w:t>
      </w:r>
      <w:r w:rsidRPr="00B86B4D">
        <w:rPr>
          <w:color w:val="000000" w:themeColor="text1"/>
          <w:sz w:val="22"/>
          <w:szCs w:val="22"/>
        </w:rPr>
        <w:t>The Mini-Mental State Examination (MMSE) as a test of global mental status and the Trail Making Test, Part A and B (TMT). Attention was assessed using the Trail Making Test (TMT-A) and executive function was assessed using the Trail Making Test (TMT-B) scoring based on time in seconds to completion of a task with a score range of 0 to 300 seconds.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{"citationItems":[{"id":"ITEM-1","itemData":{"author":[{"dropping-particle":"","family":"Reitan","given":"Ralph M","non-dropping-particle":"","parse-names":false,"suffix":""}],"container-title":"Perceptual and Motor Skills","id":"ITEM-1","issued":{"date-parts":[["1958"]]},"number-of-pages":"271-276","publisher":"@ Southern Universities Press","title":"Validity of the Trail Making Test as an Indicator of Organic Brain Damage","type":"report","volume":"8"},"uris":["http://www.mendeley.com/documents/?uuid=53c36d7d-5100-3c7a-a615-84408c69b3e6","http://www.mendeley.com/documents/?uuid=eb3fb539-3d26-4d9d-963b-458540f3a834"]}],"mendeley":{"formattedCitation":"&lt;sup&gt;23&lt;/sup&gt;","plainTextFormattedCitation":"23","previouslyFormattedCitation":"&lt;sup&gt;23&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23</w:t>
      </w:r>
      <w:r w:rsidRPr="00B86B4D">
        <w:rPr>
          <w:color w:val="000000" w:themeColor="text1"/>
          <w:sz w:val="22"/>
          <w:szCs w:val="22"/>
        </w:rPr>
        <w:fldChar w:fldCharType="end"/>
      </w:r>
      <w:r w:rsidRPr="00B86B4D">
        <w:rPr>
          <w:color w:val="000000" w:themeColor="text1"/>
          <w:sz w:val="22"/>
          <w:szCs w:val="22"/>
        </w:rPr>
        <w:t xml:space="preserve"> Individuals who required additional time to complete TMT A and B, but were able to complete the task, were included and assigned a score of 300. Prior research has established precedent for including individuals who complete the TMT over the 300 second time limit to distinguish this group from individuals who cannot complete the task independent of the time limit.</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{"citationItems":[{"id":"ITEM-1","itemData":{"DOI":"10.1016/j.acn.2007.11.005.","author":[{"dropping-particle":"","family":"Ashendorf","given":"Lee","non-dropping-particle":"","parse-names":false,"suffix":""},{"dropping-particle":"","family":"Jefferson","given":"Angela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-1","issue":"2","issued":{"date-parts":[["2008"]]},"page":"129-137","title":"Trail Making Test Errors in Normal Aging, Mild Cognitive Impairment, and Dementia","type":"article-journal","volume":"23"},"uris":["http://www.mendeley.com/documents/?uuid=92f1413d-4980-4a2e-a32f-b74fd958ec06"]},{"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4fa13890-86a0-4077-86f5-1894945423c8"]}],"mendeley":{"formattedCitation":"&lt;sup&gt;24,25&lt;/sup&gt;","plainTextFormattedCitation":"24,25","previouslyFormattedCitation":"&lt;sup&gt;24,25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24,25</w:t>
      </w:r>
      <w:r w:rsidRPr="00B86B4D">
        <w:rPr>
          <w:color w:val="000000" w:themeColor="text1"/>
          <w:sz w:val="22"/>
          <w:szCs w:val="22"/>
        </w:rPr>
        <w:fldChar w:fldCharType="end"/>
      </w:r>
      <w:r w:rsidRPr="00B86B4D">
        <w:rPr>
          <w:color w:val="000000" w:themeColor="text1"/>
          <w:sz w:val="22"/>
          <w:szCs w:val="22"/>
        </w:rPr>
        <w:t xml:space="preserve"> The rationale to include &gt;300 completers in these analyses was made due to the possible presence of slowing without confusion in the target population of individuals with cognitive frailty. TMT, part A and B cut off scores are based on established norms for mild neurocognitive disorders.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{"citationItems":[{"id":"ITEM-1","itemData":{"author":[{"dropping-particle":"","family":"Strauss","given":"Esther","non-dropping-particle":"","parse-names":false,"suffix":""},{"dropping-particle":"","family":"Sherman","given":"Elisabeth M.S.","non-dropping-particle":"","parse-names":false,"suffix":""},{"dropping-particle":"","family":"Spreen","given":"Otfried","non-dropping-particle":"","parse-names":false,"suffix":""}],"id":"ITEM-1","issued":{"date-parts":[["2006"]]},"number-of-pages":"655-676","publisher":"Oxford University Press","title":"A compendium of Neuropsychologial Tests: Adiminstration, Norms, and Commentary","type":"book"},"uris":["http://www.mendeley.com/documents/?uuid=4fa13890-86a0-4077-86f5-1894945423c8","http://www.mendeley.com/documents/?uuid=8e6eb8c7-43e9-4efc-b577-5b8718ecb902"]}],"mendeley":{"formattedCitation":"&lt;sup&gt;25&lt;/sup&gt;","plainTextFormattedCitation":"25","previouslyFormattedCitation":"&lt;sup&gt;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25</w:t>
      </w:r>
      <w:r w:rsidRPr="00B86B4D">
        <w:rPr>
          <w:color w:val="000000" w:themeColor="text1"/>
          <w:sz w:val="22"/>
          <w:szCs w:val="22"/>
        </w:rPr>
        <w:fldChar w:fldCharType="end"/>
      </w:r>
      <w:r w:rsidRPr="00B86B4D">
        <w:rPr>
          <w:color w:val="000000" w:themeColor="text1"/>
          <w:sz w:val="22"/>
          <w:szCs w:val="22"/>
        </w:rPr>
        <w:t xml:space="preserve"> Normative data for </w:t>
      </w:r>
      <w:r w:rsidRPr="00B86B4D">
        <w:rPr>
          <w:color w:val="000000" w:themeColor="text1"/>
          <w:sz w:val="22"/>
          <w:szCs w:val="22"/>
        </w:rPr>
        <w:lastRenderedPageBreak/>
        <w:t>time to complete the TMT tests in seconds was stratified by age and education category.</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{"citationItems":[{"id":"ITEM-1","itemData":{"author":[{"dropping-particle":"","family":"Strauss","given":"Esther","non-dropping-particle":"","parse-names":false,"suffix":""},{"dropping-particle":"","family":"Sherman","given":"Elisabeth M.S.","non-dropping-particle":"","parse-names":false,"suffix":""},{"dropping-particle":"","family":"Spreen","given":"Otfried","non-dropping-particle":"","parse-names":false,"suffix":""}],"id":"ITEM-1","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mendeley":{"formattedCitation":"&lt;sup&gt;25&lt;/sup&gt;","plainTextFormattedCitation":"25","previouslyFormattedCitation":"&lt;sup&gt;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25</w:t>
      </w:r>
      <w:r w:rsidRPr="00B86B4D">
        <w:rPr>
          <w:color w:val="000000" w:themeColor="text1"/>
          <w:sz w:val="22"/>
          <w:szCs w:val="22"/>
        </w:rPr>
        <w:fldChar w:fldCharType="end"/>
      </w:r>
      <w:r w:rsidRPr="00B86B4D">
        <w:rPr>
          <w:color w:val="000000" w:themeColor="text1"/>
          <w:sz w:val="22"/>
          <w:szCs w:val="22"/>
        </w:rPr>
        <w:t xml:space="preserve"> The </w:t>
      </w:r>
      <w:proofErr w:type="spellStart"/>
      <w:r w:rsidRPr="00B86B4D">
        <w:rPr>
          <w:color w:val="000000" w:themeColor="text1"/>
          <w:sz w:val="22"/>
          <w:szCs w:val="22"/>
        </w:rPr>
        <w:t>InCHIANTI</w:t>
      </w:r>
      <w:proofErr w:type="spellEnd"/>
      <w:r w:rsidRPr="00B86B4D">
        <w:rPr>
          <w:color w:val="000000" w:themeColor="text1"/>
          <w:sz w:val="22"/>
          <w:szCs w:val="22"/>
        </w:rPr>
        <w:t xml:space="preserve"> criteria for frailty is defined by Fried et al. as exhaustion, slowness, low physical activity, weakness, and weight loss.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sciences","id":"ITEM-1","issue":"3","issued":{"date-parts":[["2001","3"]]},"page":"M146-56","title":"Frailty in older adults: evidence for a phenotype.","type":"article-journal","volume":"56"},"uris":["http://www.mendeley.com/documents/?uuid=31069cd0-962e-4783-be0d-1118afbbc2ef","http://www.mendeley.com/documents/?uuid=8a824c1b-015b-4dc5-b59f-9d4bd6290798"]}],"mendeley":{"formattedCitation":"&lt;sup&gt;3&lt;/sup&gt;","plainTextFormattedCitation":"3","previouslyFormattedCitation":"&lt;sup&gt;3&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w:t>
      </w:r>
      <w:r w:rsidRPr="00B86B4D">
        <w:rPr>
          <w:color w:val="000000" w:themeColor="text1"/>
          <w:sz w:val="22"/>
          <w:szCs w:val="22"/>
        </w:rPr>
        <w:fldChar w:fldCharType="end"/>
      </w:r>
      <w:r w:rsidRPr="00B86B4D">
        <w:rPr>
          <w:color w:val="000000" w:themeColor="text1"/>
          <w:sz w:val="22"/>
          <w:szCs w:val="22"/>
        </w:rPr>
        <w:t xml:space="preserve"> Additional description of the </w:t>
      </w:r>
      <w:proofErr w:type="spellStart"/>
      <w:r w:rsidRPr="00B86B4D">
        <w:rPr>
          <w:color w:val="000000" w:themeColor="text1"/>
          <w:sz w:val="22"/>
          <w:szCs w:val="22"/>
        </w:rPr>
        <w:t>InCHIANTI</w:t>
      </w:r>
      <w:proofErr w:type="spellEnd"/>
      <w:r w:rsidRPr="00B86B4D">
        <w:rPr>
          <w:color w:val="000000" w:themeColor="text1"/>
          <w:sz w:val="22"/>
          <w:szCs w:val="22"/>
        </w:rPr>
        <w:t xml:space="preserve"> data collection and frailty classifications have been previously published.</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10.1111/j.1532-5415.2000.tb03873.x","ISSN":"00028614","author":[{"dropping-particle":"","family":"Ferrucci","given":"Luigi","non-dropping-particle":"","parse-names":false,"suffix":""},{"dropping-particle":"","family":"Bandinelli","given":"Stefania","non-dropping-particle":"","parse-names":false,"suffix":""},{"dropping-particle":"","family":"Benvenuti","given":"Enrico","non-dropping-particle":"","parse-names":false,"suffix":""},{"dropping-particle":"","family":"Iorio","given":"Angelo","non-dropping-particle":"Di","parse-names":false,"suffix":""},{"dropping-particle":"","family":"Macchi","given":"Claudio","non-dropping-particle":"","parse-names":false,"suffix":""},{"dropping-particle":"","family":"Harris","given":"Tamara B.","non-dropping-particle":"","parse-names":false,"suffix":""},{"dropping-particle":"","family":"Guralnik","given":"Jack M","non-dropping-particle":"","parse-names":false,"suffix":""}],"container-title":"Journal of the American Geriatrics Society","id":"ITEM-1","issue":"12","issued":{"date-parts":[["2000","12"]]},"page":"1618-1625","publisher":"Blackwell Publishing Ltd","title":"Subsystems Contributing to the Decline in Ability to Walk: Bridging the Gap Between Epidemiology and Geriatric Practice in the InCHIANTI Study","type":"article-journal","volume":"48"},"uris":["http://www.mendeley.com/documents/?uuid=73c1ae0b-33d3-4167-a7c9-233e3d748fa9","http://www.mendeley.com/documents/?uuid=85f3002f-8702-4fcc-96e5-7a1be40bf76d"]},{"id":"ITEM-2","itemData":{"DOI":"10.1093/gerona/gly132","ISSN":"1079-5006","author":[{"dropping-particle":"","family":"Stenholm","given":"Sari","non-dropping-particle":"","parse-names":false,"suffix":""},{"dropping-particle":"","family":"Ferrucci","given":"Luigi","non-dropping-particle":"","parse-names":false,"suffix":""},{"dropping-particle":"","family":"Vahtera","given":"Jussi","non-dropping-particle":"","parse-names":false,"suffix":""},{"dropping-particle":"","family":"Hoogendijk","given":"Emiel O","non-dropping-particle":"","parse-names":false,"suffix":""},{"dropping-particle":"","family":"Huisman","given":"Martijn","non-dropping-particle":"","parse-names":false,"suffix":""},{"dropping-particle":"","family":"Pentti","given":"Jaana","non-dropping-particle":"","parse-names":false,"suffix":""},{"dropping-particle":"V","family":"Lindbohm","given":"Joni","non-dropping-particle":"","parse-names":false,"suffix":""},{"dropping-particle":"","family":"Bandinelli","given":"Stefania","non-dropping-particle":"","parse-names":false,"suffix":""},{"dropping-particle":"","family":"Guralnik","given":"Jack M","non-dropping-particle":"","parse-names":false,"suffix":""},{"dropping-particle":"","family":"Kivimäki","given":"Mika","non-dropping-particle":"","parse-names":false,"suffix":""}],"container-title":"The Journals of Gerontology: Series A","id":"ITEM-2","issued":{"date-parts":[["2018","8","1"]]},"title":"Natural Course of Frailty Components in People Who Develop Frailty Syndrome: Evidence From Two Cohort Studies","type":"article-journal"},"uris":["http://www.mendeley.com/documents/?uuid=0883d5c5-584b-35b5-ac0e-fd19db421ec1","http://www.mendeley.com/documents/?uuid=34997a00-3131-4376-8e7a-119986e711d2","http://www.mendeley.com/documents/?uuid=53f2674c-40f7-454c-aac4-41e0d7794f97"]}],"mendeley":{"formattedCitation":"&lt;sup&gt;26,27&lt;/sup&gt;","plainTextFormattedCitation":"26,27","previouslyFormattedCitation":"&lt;sup&gt;26,27&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26,27</w:t>
      </w:r>
      <w:r w:rsidRPr="00B86B4D">
        <w:rPr>
          <w:color w:val="000000" w:themeColor="text1"/>
          <w:sz w:val="22"/>
          <w:szCs w:val="22"/>
        </w:rPr>
        <w:fldChar w:fldCharType="end"/>
      </w:r>
    </w:p>
    <w:p w14:paraId="5F12E057" w14:textId="77777777" w:rsidR="00E75219" w:rsidRPr="00B86B4D" w:rsidRDefault="00E75219" w:rsidP="001700A7">
      <w:pPr>
        <w:spacing w:line="360" w:lineRule="auto"/>
        <w:ind w:firstLine="720"/>
        <w:rPr>
          <w:color w:val="000000" w:themeColor="text1"/>
          <w:sz w:val="22"/>
          <w:szCs w:val="22"/>
        </w:rPr>
      </w:pPr>
      <w:r w:rsidRPr="00B86B4D">
        <w:rPr>
          <w:i/>
          <w:color w:val="000000" w:themeColor="text1"/>
          <w:sz w:val="22"/>
          <w:szCs w:val="22"/>
        </w:rPr>
        <w:t xml:space="preserve">Cognitive Frailty Phenotype: </w:t>
      </w:r>
      <w:r w:rsidRPr="00B86B4D">
        <w:rPr>
          <w:color w:val="000000" w:themeColor="text1"/>
          <w:sz w:val="22"/>
          <w:szCs w:val="22"/>
        </w:rPr>
        <w:t>Individuals with evidence of both physical frailty and cognitive impairment without a baseline clinical diagnosis of Alzheimer’s Disease or other dementia were defined as having the cognitive frailty phenotype.</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{"citationItems":[{"id":"ITEM-1","itemData":{"DOI":"10.14283/jpad.2016.94","ISBN":"0324141122","ISSN":"1527-5418","PMID":"24655651","author":[{"dropping-particle":"","family":"Delrieu J, Andrieu S, Cantet C, Cesari M, Ousset P.J., Voisin T, Fougere B, Gillette S, Carrie I","given":"and Vellas B","non-dropping-particle":"","parse-names":false,"suffix":""}],"id":"ITEM-1","issue":"8","issued":{"date-parts":[["2016"]]},"page":"1477-1490","title":"Neuropsychological Profile of “Cognitive Frailty” Subjects in MAPT Study","type":"article-journal","volume":"116"},"uris":["http://www.mendeley.com/documents/?uuid=eb6552f4-eb74-4787-a363-adae5a8bd76f","http://www.mendeley.com/documents/?uuid=0953eb21-8f97-4f99-8e58-7988492a3dfe"]}],"mendeley":{"formattedCitation":"&lt;sup&gt;22&lt;/sup&gt;","plainTextFormattedCitation":"22","previouslyFormattedCitation":"&lt;sup&gt;22&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22</w:t>
      </w:r>
      <w:r w:rsidRPr="00B86B4D">
        <w:rPr>
          <w:color w:val="000000" w:themeColor="text1"/>
          <w:sz w:val="22"/>
          <w:szCs w:val="22"/>
        </w:rPr>
        <w:fldChar w:fldCharType="end"/>
      </w:r>
      <w:r w:rsidRPr="00B86B4D">
        <w:rPr>
          <w:color w:val="000000" w:themeColor="text1"/>
          <w:sz w:val="22"/>
          <w:szCs w:val="22"/>
        </w:rPr>
        <w:t xml:space="preserve"> Phenotypic classification for this study included two models compared with healthy controls. </w:t>
      </w:r>
    </w:p>
    <w:p w14:paraId="723548B0"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Healthy controls were defined as robust:</w:t>
      </w:r>
    </w:p>
    <w:p w14:paraId="0132750A" w14:textId="77777777" w:rsidR="00E75219" w:rsidRPr="00B86B4D" w:rsidRDefault="00E75219" w:rsidP="00F824C4">
      <w:pPr>
        <w:pStyle w:val="ListParagraph"/>
        <w:numPr>
          <w:ilvl w:val="0"/>
          <w:numId w:val="3"/>
        </w:numPr>
        <w:spacing w:line="360" w:lineRule="auto"/>
        <w:rPr>
          <w:rFonts w:ascii="Times New Roman" w:hAnsi="Times New Roman"/>
          <w:color w:val="000000" w:themeColor="text1"/>
          <w:sz w:val="22"/>
          <w:szCs w:val="22"/>
        </w:rPr>
      </w:pPr>
      <w:r w:rsidRPr="00B86B4D">
        <w:rPr>
          <w:rFonts w:ascii="Times New Roman" w:hAnsi="Times New Roman"/>
          <w:color w:val="000000" w:themeColor="text1"/>
          <w:sz w:val="22"/>
          <w:szCs w:val="22"/>
        </w:rPr>
        <w:t>No physical frailty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1 criteria) and absence of cognitive impairment (MMSE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24; Trail A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78, Trail B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106).</w:t>
      </w:r>
    </w:p>
    <w:p w14:paraId="07C09FBB"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Model I considers participants with an MMSE </w:t>
      </w:r>
      <w:r w:rsidRPr="00B86B4D">
        <w:rPr>
          <w:rFonts w:ascii="Cambria Math" w:eastAsia="Times New Roman" w:hAnsi="Cambria Math" w:cs="Cambria Math"/>
          <w:color w:val="000000" w:themeColor="text1"/>
          <w:sz w:val="22"/>
          <w:szCs w:val="22"/>
          <w:shd w:val="clear" w:color="auto" w:fill="F8F9FA"/>
        </w:rPr>
        <w:t>≦</w:t>
      </w:r>
      <w:r w:rsidRPr="00B86B4D">
        <w:rPr>
          <w:color w:val="000000" w:themeColor="text1"/>
          <w:sz w:val="22"/>
          <w:szCs w:val="22"/>
        </w:rPr>
        <w:t xml:space="preserve"> 23 as having cognitive impairment and individuals with one or more of the physical frailty criteria are considered frail.</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{"citationItems":[{"id":"ITEM-1","itemData":{"ISSN":"0022-3956","PMID":"1202204","author":[{"dropping-particle":"","family":"Folstein","given":"M F","non-dropping-particle":"","parse-names":false,"suffix":""},{"dropping-particle":"","family":"Folstein","given":"S E","non-dropping-particle":"","parse-names":false,"suffix":""},{"dropping-particle":"","family":"McHugh","given":"P R","non-dropping-particle":"","parse-names":false,"suffix":""}],"container-title":"Journal of psychiatric research","id":"ITEM-1","issue":"3","issued":{"date-parts":[["1975","11"]]},"page":"189-98","title":"\"Mini-mental state\". A practical method for grading the cognitive state of patients for the clinician.","type":"article-journal","volume":"12"},"uris":["http://www.mendeley.com/documents/?uuid=e7836b21-3613-428a-ad29-f9e649034bb9","http://www.mendeley.com/documents/?uuid=83872237-ea0b-4127-9f60-62fd46f85565"]},{"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id":"ITEM-3","itemData":{"ISSN":"1079-5006","PMID":"11253156","abstract":"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pr…","author":[{"dropping-particle":"","family":"Fried","given":"L P","non-dropping-particle":"","parse-names":false,"suffix":""},{"dropping-particle":"","family":"Tangen","given":"C M","non-dropping-particle":"","parse-names":false,"suffix":""},{"dropping-particle":"","family":"Walston","given":"J","non-dropping-particle":"","parse-names":false,"suffix":""},{"dropping-particle":"","family":"Newman","given":"A B","non-dropping-particle":"","parse-names":false,"suffix":""},{"dropping-particle":"","family":"Hirsch","given":"C","non-dropping-particle":"","parse-names":false,"suffix":""},{"dropping-particle":"","family":"Gottdiener","given":"J","non-dropping-particle":"","parse-names":false,"suffix":""},{"dropping-particle":"","family":"Seeman","given":"T","non-dropping-particle":"","parse-names":false,"suffix":""},{"dropping-particle":"","family":"Tracy","given":"R","non-dropping-particle":"","parse-names":false,"suffix":""},{"dropping-particle":"","family":"Kop","given":"W J","non-dropping-particle":"","parse-names":false,"suffix":""},{"dropping-particle":"","family":"Burke","given":"G","non-dropping-particle":"","parse-names":false,"suffix":""},{"dropping-particle":"","family":"McBurnie","given":"M A","non-dropping-particle":"","parse-names":false,"suffix":""}],"container-title":"The journals of gerontology. Series A, Biological sciences and medical sciences","id":"ITEM-3","issue":"3","issued":{"date-parts":[["2001","3"]]},"page":"M146-56","title":"Frailty in older adults: evidence for a phenotype.","type":"article-journal","volume":"56"},"uris":["http://www.mendeley.com/documents/?uuid=8a824c1b-015b-4dc5-b59f-9d4bd6290798"]}],"mendeley":{"formattedCitation":"&lt;sup&gt;3,25,28&lt;/sup&gt;","plainTextFormattedCitation":"3,25,28","previouslyFormattedCitation":"&lt;sup&gt;3,25,28&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3,25,28</w:t>
      </w:r>
      <w:r w:rsidRPr="00B86B4D">
        <w:rPr>
          <w:color w:val="000000" w:themeColor="text1"/>
          <w:sz w:val="22"/>
          <w:szCs w:val="22"/>
        </w:rPr>
        <w:fldChar w:fldCharType="end"/>
      </w:r>
      <w:r w:rsidRPr="00B86B4D">
        <w:rPr>
          <w:color w:val="000000" w:themeColor="text1"/>
          <w:sz w:val="22"/>
          <w:szCs w:val="22"/>
        </w:rPr>
        <w:t xml:space="preserve"> </w:t>
      </w:r>
    </w:p>
    <w:p w14:paraId="03BC8B07" w14:textId="77777777" w:rsidR="00E75219" w:rsidRPr="00B86B4D" w:rsidRDefault="00E75219" w:rsidP="00F824C4">
      <w:pPr>
        <w:pStyle w:val="ListParagraph"/>
        <w:numPr>
          <w:ilvl w:val="0"/>
          <w:numId w:val="2"/>
        </w:numPr>
        <w:spacing w:line="360" w:lineRule="auto"/>
        <w:rPr>
          <w:rFonts w:ascii="Times New Roman" w:hAnsi="Times New Roman"/>
          <w:color w:val="000000" w:themeColor="text1"/>
          <w:sz w:val="22"/>
          <w:szCs w:val="22"/>
        </w:rPr>
      </w:pPr>
      <w:r w:rsidRPr="00B86B4D">
        <w:rPr>
          <w:rFonts w:ascii="Times New Roman" w:hAnsi="Times New Roman"/>
          <w:color w:val="000000" w:themeColor="text1"/>
          <w:sz w:val="22"/>
          <w:szCs w:val="22"/>
        </w:rPr>
        <w:t>Physical frailty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1 criteria) and cognitive impairment (MMSE </w:t>
      </w:r>
      <w:r w:rsidRPr="00B86B4D">
        <w:rPr>
          <w:rFonts w:ascii="Cambria Math" w:eastAsia="Times New Roman" w:hAnsi="Cambria Math" w:cs="Cambria Math"/>
          <w:color w:val="000000" w:themeColor="text1"/>
          <w:sz w:val="22"/>
          <w:szCs w:val="22"/>
          <w:shd w:val="clear" w:color="auto" w:fill="F8F9FA"/>
        </w:rPr>
        <w:t>≦</w:t>
      </w:r>
      <w:r w:rsidRPr="00B86B4D">
        <w:rPr>
          <w:rFonts w:ascii="Times New Roman" w:hAnsi="Times New Roman"/>
          <w:color w:val="000000" w:themeColor="text1"/>
          <w:sz w:val="22"/>
          <w:szCs w:val="22"/>
        </w:rPr>
        <w:t xml:space="preserve"> 23)</w:t>
      </w:r>
    </w:p>
    <w:p w14:paraId="732E2C19"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Model II considers participants who completed the MMSE with additional neuropsychiatric testing TMT, Part A and B.</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{"citationItems":[{"id":"ITEM-1","itemData":{"DOI":"10.1016/j.acn.2007.11.005.","author":[{"dropping-particle":"","family":"Ashendorf","given":"Lee","non-dropping-particle":"","parse-names":false,"suffix":""},{"dropping-particle":"","family":"Jefferson","given":"Angela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-1","issue":"2","issued":{"date-parts":[["2008"]]},"page":"129-137","title":"Trail Making Test Errors in Normal Aging, Mild Cognitive Impairment, and Dementia","type":"article-journal","volume":"23"},"uris":["http://www.mendeley.com/documents/?uuid=92f1413d-4980-4a2e-a32f-b74fd958ec06","http://www.mendeley.com/documents/?uuid=cebc610d-dda9-464f-9878-38eb777ab20f"]},{"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mendeley":{"formattedCitation":"&lt;sup&gt;24,25&lt;/sup&gt;","plainTextFormattedCitation":"24,25","previouslyFormattedCitation":"&lt;sup&gt;24,25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24,25</w:t>
      </w:r>
      <w:r w:rsidRPr="00B86B4D">
        <w:rPr>
          <w:color w:val="000000" w:themeColor="text1"/>
          <w:sz w:val="22"/>
          <w:szCs w:val="22"/>
        </w:rPr>
        <w:fldChar w:fldCharType="end"/>
      </w:r>
      <w:r w:rsidRPr="00B86B4D">
        <w:rPr>
          <w:color w:val="000000" w:themeColor="text1"/>
          <w:sz w:val="22"/>
          <w:szCs w:val="22"/>
        </w:rPr>
        <w:t xml:space="preserve"> TMT cut off scores for cognitive impairment are based on cut off norms established by </w:t>
      </w:r>
      <w:proofErr w:type="spellStart"/>
      <w:r w:rsidRPr="00B86B4D">
        <w:rPr>
          <w:color w:val="000000" w:themeColor="text1"/>
          <w:sz w:val="22"/>
          <w:szCs w:val="22"/>
        </w:rPr>
        <w:t>Ashendorf</w:t>
      </w:r>
      <w:proofErr w:type="spellEnd"/>
      <w:r w:rsidRPr="00B86B4D">
        <w:rPr>
          <w:color w:val="000000" w:themeColor="text1"/>
          <w:sz w:val="22"/>
          <w:szCs w:val="22"/>
        </w:rPr>
        <w:t xml:space="preserve"> et al., 2008 and Strauss et al, 2006.  </w:t>
      </w:r>
    </w:p>
    <w:p w14:paraId="4D5EA524" w14:textId="77777777" w:rsidR="00E75219" w:rsidRPr="00B86B4D" w:rsidRDefault="00E75219" w:rsidP="00F824C4">
      <w:pPr>
        <w:pStyle w:val="ListParagraph"/>
        <w:numPr>
          <w:ilvl w:val="0"/>
          <w:numId w:val="2"/>
        </w:numPr>
        <w:spacing w:line="360" w:lineRule="auto"/>
        <w:rPr>
          <w:rFonts w:ascii="Times New Roman" w:hAnsi="Times New Roman"/>
          <w:color w:val="000000" w:themeColor="text1"/>
          <w:sz w:val="22"/>
          <w:szCs w:val="22"/>
        </w:rPr>
      </w:pPr>
      <w:r w:rsidRPr="00B86B4D">
        <w:rPr>
          <w:rFonts w:ascii="Times New Roman" w:hAnsi="Times New Roman"/>
          <w:color w:val="000000" w:themeColor="text1"/>
          <w:sz w:val="22"/>
          <w:szCs w:val="22"/>
        </w:rPr>
        <w:t>Physical frailty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1 criteria) and cognitive impairment (Trail A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 xml:space="preserve"> 78, Trail B </w:t>
      </w:r>
      <w:r w:rsidRPr="00B86B4D">
        <w:rPr>
          <w:rFonts w:ascii="Cambria Math" w:eastAsia="MS Mincho" w:hAnsi="Cambria Math" w:cs="Cambria Math"/>
          <w:color w:val="000000" w:themeColor="text1"/>
          <w:sz w:val="22"/>
          <w:szCs w:val="22"/>
        </w:rPr>
        <w:t>≧</w:t>
      </w:r>
      <w:r w:rsidRPr="00B86B4D">
        <w:rPr>
          <w:rFonts w:ascii="Times New Roman" w:hAnsi="Times New Roman"/>
          <w:color w:val="000000" w:themeColor="text1"/>
          <w:sz w:val="22"/>
          <w:szCs w:val="22"/>
        </w:rPr>
        <w:t>106)</w:t>
      </w:r>
    </w:p>
    <w:p w14:paraId="22E4F6E5" w14:textId="416A17FF" w:rsidR="000A7030" w:rsidRPr="00B86B4D" w:rsidRDefault="00E75219" w:rsidP="00F824C4">
      <w:pPr>
        <w:spacing w:line="360" w:lineRule="auto"/>
        <w:rPr>
          <w:color w:val="000000" w:themeColor="text1"/>
          <w:sz w:val="22"/>
          <w:szCs w:val="22"/>
        </w:rPr>
      </w:pPr>
      <w:r w:rsidRPr="00B86B4D">
        <w:rPr>
          <w:color w:val="000000" w:themeColor="text1"/>
          <w:sz w:val="22"/>
          <w:szCs w:val="22"/>
        </w:rPr>
        <w:t>Numbers of participants with moderate and severe cognitive impairment were insufficient for inclusion as separate categories for pre-frail and frail phenotypes in statistical analyses.</w:t>
      </w:r>
    </w:p>
    <w:p w14:paraId="71CE0DEA" w14:textId="4B00A7E5" w:rsidR="000A7030" w:rsidRPr="00484271" w:rsidRDefault="00E75219" w:rsidP="001700A7">
      <w:pPr>
        <w:spacing w:line="360" w:lineRule="auto"/>
        <w:ind w:firstLine="720"/>
        <w:rPr>
          <w:color w:val="000000" w:themeColor="text1"/>
          <w:sz w:val="22"/>
          <w:szCs w:val="22"/>
        </w:rPr>
      </w:pPr>
      <w:r w:rsidRPr="00B86B4D">
        <w:rPr>
          <w:i/>
          <w:color w:val="000000" w:themeColor="text1"/>
          <w:sz w:val="22"/>
          <w:szCs w:val="22"/>
        </w:rPr>
        <w:t xml:space="preserve">Statistical Analysis </w:t>
      </w:r>
      <w:r w:rsidR="001E500E" w:rsidRPr="00B86B4D">
        <w:rPr>
          <w:i/>
          <w:color w:val="000000" w:themeColor="text1"/>
          <w:sz w:val="22"/>
          <w:szCs w:val="22"/>
        </w:rPr>
        <w:t>(</w:t>
      </w:r>
      <w:r w:rsidR="001E500E" w:rsidRPr="00B86B4D">
        <w:rPr>
          <w:color w:val="000000" w:themeColor="text1"/>
          <w:sz w:val="22"/>
          <w:szCs w:val="22"/>
        </w:rPr>
        <w:t>Figure 2 shows a summary of our workflow)</w:t>
      </w:r>
    </w:p>
    <w:p w14:paraId="68A322DB" w14:textId="01FDAEA5" w:rsidR="00E75219" w:rsidRPr="00B86B4D" w:rsidRDefault="001E500E" w:rsidP="00F824C4">
      <w:pPr>
        <w:spacing w:line="360" w:lineRule="auto"/>
        <w:rPr>
          <w:color w:val="000000" w:themeColor="text1"/>
          <w:sz w:val="22"/>
          <w:szCs w:val="22"/>
        </w:rPr>
      </w:pPr>
      <w:r w:rsidRPr="00B86B4D">
        <w:rPr>
          <w:color w:val="000000" w:themeColor="text1"/>
          <w:sz w:val="22"/>
          <w:szCs w:val="22"/>
        </w:rPr>
        <w:t xml:space="preserve">     </w:t>
      </w:r>
      <w:r w:rsidR="00E75219" w:rsidRPr="00B86B4D">
        <w:rPr>
          <w:color w:val="000000" w:themeColor="text1"/>
          <w:sz w:val="22"/>
          <w:szCs w:val="22"/>
        </w:rPr>
        <w:t>We used a cross-sectional (study baseline) data to develop boosted ML models for identification of features associated with cognitive frailty. Then we further qualified the clinical and biological predictors identified in the model by examining their significance by healthy control and cognitive frailty phenotype. Covariates were selected to control for potential confounding effects, including sex, age, education, baseline diagnosis of dementia (n=82), vascular dementia (n=41), depression (n=412), and Parkinson’s disease (n=16).</w:t>
      </w:r>
    </w:p>
    <w:p w14:paraId="557D246B"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Model Development: Mechanisms that contribute to the development of cognitive frailty were determined by evaluation of genetic variability, protein and clinical markers as predictors of the development and persistence of cognitive frailty. </w:t>
      </w:r>
      <w:r w:rsidRPr="00B86B4D">
        <w:rPr>
          <w:i/>
          <w:color w:val="000000" w:themeColor="text1"/>
          <w:sz w:val="22"/>
          <w:szCs w:val="22"/>
          <w:u w:val="single"/>
        </w:rPr>
        <w:t>Model I</w:t>
      </w:r>
      <w:r w:rsidRPr="00B86B4D">
        <w:rPr>
          <w:color w:val="000000" w:themeColor="text1"/>
          <w:sz w:val="22"/>
          <w:szCs w:val="22"/>
        </w:rPr>
        <w:t xml:space="preserve"> tested prediction of genetic, protein and clinical markers on cognitive frailty with the use of criteria from the MMSE while </w:t>
      </w:r>
      <w:r w:rsidRPr="00B86B4D">
        <w:rPr>
          <w:i/>
          <w:color w:val="000000" w:themeColor="text1"/>
          <w:sz w:val="22"/>
          <w:szCs w:val="22"/>
          <w:u w:val="single"/>
        </w:rPr>
        <w:t>Model II</w:t>
      </w:r>
      <w:r w:rsidRPr="00B86B4D">
        <w:rPr>
          <w:color w:val="000000" w:themeColor="text1"/>
          <w:sz w:val="22"/>
          <w:szCs w:val="22"/>
        </w:rPr>
        <w:t xml:space="preserve"> tested prediction of genetic, protein, and clinical markers on cognitive frailty with use of additional neuropsychological testing TMT, Part A and B.</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{"citationItems":[{"id":"ITEM-1","itemData":{"DOI":"10.1016/j.acn.2007.11.005.","author":[{"dropping-particle":"","family":"Ashendorf","given":"Lee","non-dropping-particle":"","parse-names":false,"suffix":""},{"dropping-particle":"","family":"Jefferson","given":"Angela L","non-dropping-particle":"","parse-names":false,"suffix":""},{"dropping-particle":"","family":"Connor","given":"Maureen K O","non-dropping-particle":"","parse-names":false,"suffix":""},{"dropping-particle":"","family":"Green","given":"Robert C","non-dropping-particle":"","parse-names":false,"suffix":""},{"dropping-particle":"","family":"Stern","given":"Robert A","non-dropping-particle":"","parse-names":false,"suffix":""},{"dropping-particle":"","family":"Nourse","given":"Edith","non-dropping-particle":"","parse-names":false,"suffix":""},{"dropping-particle":"","family":"Memorial","given":"Rogers","non-dropping-particle":"","parse-names":false,"suffix":""},{"dropping-particle":"","family":"Hospital","given":"Veterans","non-dropping-particle":"","parse-names":false,"suffix":""}],"id":"ITEM-1","issue":"2","issued":{"date-parts":[["2008"]]},"page":"129-137","title":"Trail Making Test Errors in Normal Aging, Mild Cognitive Impairment, and Dementia","type":"article-journal","volume":"23"},"uris":["http://www.mendeley.com/documents/?uuid=92f1413d-4980-4a2e-a32f-b74fd958ec06","http://www.mendeley.com/documents/?uuid=cebc610d-dda9-464f-9878-38eb777ab20f"]},{"id":"ITEM-2","itemData":{"author":[{"dropping-particle":"","family":"Strauss","given":"Esther","non-dropping-particle":"","parse-names":false,"suffix":""},{"dropping-particle":"","family":"Sherman","given":"Elisabeth M.S.","non-dropping-particle":"","parse-names":false,"suffix":""},{"dropping-particle":"","family":"Spreen","given":"Otfried","non-dropping-particle":"","parse-names":false,"suffix":""}],"id":"ITEM-2","issued":{"date-parts":[["2006"]]},"number-of-pages":"655-676","publisher":"Oxford University Press","title":"A compendium of Neuropsychologial Tests: Adiminstration, Norms, and Commentary","type":"book"},"uris":["http://www.mendeley.com/documents/?uuid=8e6eb8c7-43e9-4efc-b577-5b8718ecb902","http://www.mendeley.com/documents/?uuid=4fa13890-86a0-4077-86f5-1894945423c8"]}],"mendeley":{"formattedCitation":"&lt;sup&gt;24,25&lt;/sup&gt;","plainTextFormattedCitation":"24,25","previouslyFormattedCitation":"&lt;sup&gt;24,25&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24,25</w:t>
      </w:r>
      <w:r w:rsidRPr="00B86B4D">
        <w:rPr>
          <w:color w:val="000000" w:themeColor="text1"/>
          <w:sz w:val="22"/>
          <w:szCs w:val="22"/>
        </w:rPr>
        <w:fldChar w:fldCharType="end"/>
      </w:r>
      <w:r w:rsidRPr="00B86B4D">
        <w:rPr>
          <w:color w:val="000000" w:themeColor="text1"/>
          <w:sz w:val="22"/>
          <w:szCs w:val="22"/>
        </w:rPr>
        <w:t xml:space="preserve"> </w:t>
      </w:r>
    </w:p>
    <w:p w14:paraId="3CEAF630"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Using a Boosted Tree Approach for Data Pruning: Boosted trees, a machine learning technique for supervised learning, are ensembles of regression trees, similar to decision trees and are used for prediction or classification. The advantage of using a tree boosting approach model for the evaluation of multiple variables simultaneously is that it provides a high predictive value with low bias.</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3cc44097-c45d-4a96-aa33-6ec10b88d92a","http://www.mendeley.com/documents/?uuid=2c1164ff-395f-4b61-85f9-2acaf9ac9000"]}],"mendeley":{"formattedCitation":"&lt;sup&gt;29&lt;/sup&gt;","plainTextFormattedCitation":"29","previouslyFormattedCitation":"&lt;sup&gt;29&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29</w:t>
      </w:r>
      <w:r w:rsidRPr="00B86B4D">
        <w:rPr>
          <w:color w:val="000000" w:themeColor="text1"/>
          <w:sz w:val="22"/>
          <w:szCs w:val="22"/>
        </w:rPr>
        <w:fldChar w:fldCharType="end"/>
      </w:r>
      <w:r w:rsidRPr="00B86B4D">
        <w:rPr>
          <w:color w:val="000000" w:themeColor="text1"/>
          <w:sz w:val="22"/>
          <w:szCs w:val="22"/>
        </w:rPr>
        <w:t xml:space="preserve"> Additionally, parameters are set to prevent over fitting for the models. Extreme Gradient Boosting (</w:t>
      </w:r>
      <w:proofErr w:type="spellStart"/>
      <w:r w:rsidRPr="00B86B4D">
        <w:rPr>
          <w:color w:val="000000" w:themeColor="text1"/>
          <w:sz w:val="22"/>
          <w:szCs w:val="22"/>
        </w:rPr>
        <w:t>xgboost</w:t>
      </w:r>
      <w:proofErr w:type="spellEnd"/>
      <w:r w:rsidRPr="00B86B4D">
        <w:rPr>
          <w:color w:val="000000" w:themeColor="text1"/>
          <w:sz w:val="22"/>
          <w:szCs w:val="22"/>
        </w:rPr>
        <w:t xml:space="preserve">) in R, statistical software, is an effective method for building a reproducible predictive model for the detection of a complex heterogeneous phenotype such as cognitive frailty with large numbers of predictors. </w:t>
      </w:r>
      <w:proofErr w:type="spellStart"/>
      <w:r w:rsidRPr="00B86B4D">
        <w:rPr>
          <w:i/>
          <w:color w:val="000000" w:themeColor="text1"/>
          <w:sz w:val="22"/>
          <w:szCs w:val="22"/>
        </w:rPr>
        <w:t>Xgboost</w:t>
      </w:r>
      <w:proofErr w:type="spellEnd"/>
      <w:r w:rsidRPr="00B86B4D">
        <w:rPr>
          <w:color w:val="000000" w:themeColor="text1"/>
          <w:sz w:val="22"/>
          <w:szCs w:val="22"/>
        </w:rPr>
        <w:t xml:space="preserve"> is based in boosted trees and provides more efficient and accurate predictive modeling with large datasets and a rapid / robust framework for variable selection. Statistical modeling is used to design, test, and validate an accurate method for classifying patients into phenotypic outcomes. The statistical analysis was completed in three steps: 1) analysis of all </w:t>
      </w:r>
      <w:r w:rsidRPr="00B86B4D">
        <w:rPr>
          <w:color w:val="000000" w:themeColor="text1"/>
          <w:sz w:val="22"/>
          <w:szCs w:val="22"/>
        </w:rPr>
        <w:lastRenderedPageBreak/>
        <w:t xml:space="preserve">available variables for feature selection and data reduction, 2) model discovery followed by model validation, and 3) determination of significance in the model features between phenotype and healthy control. </w:t>
      </w:r>
    </w:p>
    <w:p w14:paraId="1CF356B2"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Step 1) The data were randomly divided, two thirds were assigned to the training cohort, and one third was assigned to the validation cohort. One of the features that is central to </w:t>
      </w:r>
      <w:proofErr w:type="spellStart"/>
      <w:r w:rsidRPr="00B86B4D">
        <w:rPr>
          <w:i/>
          <w:color w:val="000000" w:themeColor="text1"/>
          <w:sz w:val="22"/>
          <w:szCs w:val="22"/>
        </w:rPr>
        <w:t>xgboost</w:t>
      </w:r>
      <w:proofErr w:type="spellEnd"/>
      <w:r w:rsidRPr="00B86B4D">
        <w:rPr>
          <w:color w:val="000000" w:themeColor="text1"/>
          <w:sz w:val="22"/>
          <w:szCs w:val="22"/>
        </w:rPr>
        <w:t xml:space="preserve"> is its ability to combine multiple trees or “weak predictors” to reach maximum prediction performance while reducing bias. This approach uses large amounts of data from different aspects of clinical, genetic, and biomarker research, strengthening the models’ generalizability and classification power. </w:t>
      </w:r>
      <w:proofErr w:type="spellStart"/>
      <w:r w:rsidRPr="00B86B4D">
        <w:rPr>
          <w:i/>
          <w:color w:val="000000" w:themeColor="text1"/>
          <w:sz w:val="22"/>
          <w:szCs w:val="22"/>
        </w:rPr>
        <w:t>Xgboost</w:t>
      </w:r>
      <w:proofErr w:type="spellEnd"/>
      <w:r w:rsidRPr="00B86B4D">
        <w:rPr>
          <w:color w:val="000000" w:themeColor="text1"/>
          <w:sz w:val="22"/>
          <w:szCs w:val="22"/>
        </w:rPr>
        <w:t xml:space="preserve"> iteratively re-weighs the variables, taking a weighted majority; the parameters identified after pruning comprised the final predictive model.</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ISSN":"2168-8966","author":[{"dropping-particle":"","family":"Friedman","given":"Jerome","non-dropping-particle":"","parse-names":false,"suffix":""},{"dropping-particle":"","family":"Hastie","given":"Trevor","non-dropping-particle":"","parse-names":false,"suffix":""},{"dropping-particle":"","family":"Tibshirani","given":"Robert","non-dropping-particle":"","parse-names":false,"suffix":""}],"container-title":"The Annals of Statistics","id":"ITEM-1","issue":"2","issued":{"date-parts":[["2000","4","1"]]},"language":"EN","page":"337-407","publisher":"Institute of Mathematical Statistics","title":"Additive logistic regression: a statistical view of boosting (With discussion and a rejoinder by the authors)","type":"article-journal","volume":"28"},"uris":["http://www.mendeley.com/documents/?uuid=cfef9ac8-625b-4a1b-a431-bc58886bfbdc","http://www.mendeley.com/documents/?uuid=36f876e2-557c-4d5b-9a04-6c9386d947d6"]}],"mendeley":{"formattedCitation":"&lt;sup&gt;30&lt;/sup&gt;","plainTextFormattedCitation":"30","previouslyFormattedCitation":"&lt;sup&gt;30&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30</w:t>
      </w:r>
      <w:r w:rsidRPr="00B86B4D">
        <w:rPr>
          <w:color w:val="000000" w:themeColor="text1"/>
          <w:sz w:val="22"/>
          <w:szCs w:val="22"/>
        </w:rPr>
        <w:fldChar w:fldCharType="end"/>
      </w:r>
      <w:r w:rsidRPr="00B86B4D">
        <w:rPr>
          <w:color w:val="000000" w:themeColor="text1"/>
          <w:sz w:val="22"/>
          <w:szCs w:val="22"/>
        </w:rPr>
        <w:t xml:space="preserve"> None of the candidate features in the models are used in the diagnosis of cognitive frailty. This standard technique prevents circularity, overestimation, and over fitting for both the models generated. Parameters for the model include: max depth = “10”, </w:t>
      </w:r>
      <w:proofErr w:type="spellStart"/>
      <w:r w:rsidRPr="00B86B4D">
        <w:rPr>
          <w:color w:val="000000" w:themeColor="text1"/>
          <w:sz w:val="22"/>
          <w:szCs w:val="22"/>
        </w:rPr>
        <w:t>nthread</w:t>
      </w:r>
      <w:proofErr w:type="spellEnd"/>
      <w:r w:rsidRPr="00B86B4D">
        <w:rPr>
          <w:color w:val="000000" w:themeColor="text1"/>
          <w:sz w:val="22"/>
          <w:szCs w:val="22"/>
        </w:rPr>
        <w:t xml:space="preserve"> = “12”, </w:t>
      </w:r>
      <w:proofErr w:type="spellStart"/>
      <w:r w:rsidRPr="00B86B4D">
        <w:rPr>
          <w:color w:val="000000" w:themeColor="text1"/>
          <w:sz w:val="22"/>
          <w:szCs w:val="22"/>
        </w:rPr>
        <w:t>nrounds</w:t>
      </w:r>
      <w:proofErr w:type="spellEnd"/>
      <w:r w:rsidRPr="00B86B4D">
        <w:rPr>
          <w:color w:val="000000" w:themeColor="text1"/>
          <w:sz w:val="22"/>
          <w:szCs w:val="22"/>
        </w:rPr>
        <w:t xml:space="preserve"> = 5-200, objective = “</w:t>
      </w:r>
      <w:proofErr w:type="spellStart"/>
      <w:r w:rsidRPr="00B86B4D">
        <w:rPr>
          <w:color w:val="000000" w:themeColor="text1"/>
          <w:sz w:val="22"/>
          <w:szCs w:val="22"/>
        </w:rPr>
        <w:t>binary:logistic</w:t>
      </w:r>
      <w:proofErr w:type="spellEnd"/>
      <w:r w:rsidRPr="00B86B4D">
        <w:rPr>
          <w:color w:val="000000" w:themeColor="text1"/>
          <w:sz w:val="22"/>
          <w:szCs w:val="22"/>
        </w:rPr>
        <w:t>”, evaluation metric = “</w:t>
      </w:r>
      <w:proofErr w:type="spellStart"/>
      <w:r w:rsidRPr="00B86B4D">
        <w:rPr>
          <w:color w:val="000000" w:themeColor="text1"/>
          <w:sz w:val="22"/>
          <w:szCs w:val="22"/>
        </w:rPr>
        <w:t>auc</w:t>
      </w:r>
      <w:proofErr w:type="spellEnd"/>
      <w:r w:rsidRPr="00B86B4D">
        <w:rPr>
          <w:color w:val="000000" w:themeColor="text1"/>
          <w:sz w:val="22"/>
          <w:szCs w:val="22"/>
        </w:rPr>
        <w:t xml:space="preserve">”, silent =”1”, gamma = default =“0” to control the number of trees, and eta default= “0.3” to prevent over fitting. We used the default setting for all other parameters which can be found in the </w:t>
      </w:r>
      <w:proofErr w:type="spellStart"/>
      <w:r w:rsidRPr="00B86B4D">
        <w:rPr>
          <w:i/>
          <w:color w:val="000000" w:themeColor="text1"/>
          <w:sz w:val="22"/>
          <w:szCs w:val="22"/>
        </w:rPr>
        <w:t>xgboost</w:t>
      </w:r>
      <w:proofErr w:type="spellEnd"/>
      <w:r w:rsidRPr="00B86B4D">
        <w:rPr>
          <w:color w:val="000000" w:themeColor="text1"/>
          <w:sz w:val="22"/>
          <w:szCs w:val="22"/>
        </w:rPr>
        <w:t xml:space="preserve"> 0.6 documentation.</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3cc44097-c45d-4a96-aa33-6ec10b88d92a","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14</w:t>
      </w:r>
      <w:r w:rsidRPr="00B86B4D">
        <w:rPr>
          <w:color w:val="000000" w:themeColor="text1"/>
          <w:sz w:val="22"/>
          <w:szCs w:val="22"/>
        </w:rPr>
        <w:fldChar w:fldCharType="end"/>
      </w:r>
      <w:r w:rsidRPr="00B86B4D">
        <w:rPr>
          <w:color w:val="000000" w:themeColor="text1"/>
          <w:sz w:val="22"/>
          <w:szCs w:val="22"/>
        </w:rPr>
        <w:t xml:space="preserve"> The </w:t>
      </w:r>
      <w:proofErr w:type="spellStart"/>
      <w:r w:rsidRPr="00B86B4D">
        <w:rPr>
          <w:i/>
          <w:color w:val="000000" w:themeColor="text1"/>
          <w:sz w:val="22"/>
          <w:szCs w:val="22"/>
        </w:rPr>
        <w:t>xgboost</w:t>
      </w:r>
      <w:proofErr w:type="spellEnd"/>
      <w:r w:rsidRPr="00B86B4D">
        <w:rPr>
          <w:color w:val="000000" w:themeColor="text1"/>
          <w:sz w:val="22"/>
          <w:szCs w:val="22"/>
        </w:rPr>
        <w:t xml:space="preserve"> algorithm iteratively determines the maximum function of a model based on a tree building algorithm (quadratic problem) which creates a node then assigns a prediction point to each leaf; the assigned number is termed “gain” (figure 1). Once the model has reached maximum depth, pruning occurs by taking out the nodes with a negative gain and keeping those with a positive gain. Results from the population predictive model are ranked by gain which is a metric based on each feature’s contribution in the model. When comparing top features to other features in the model, the higher the gain the more important the feature is for prediction of the outcome. </w:t>
      </w:r>
      <w:r w:rsidRPr="00B86B4D">
        <w:rPr>
          <w:i/>
          <w:color w:val="000000" w:themeColor="text1"/>
          <w:sz w:val="22"/>
          <w:szCs w:val="22"/>
        </w:rPr>
        <w:t>Cover</w:t>
      </w:r>
      <w:r w:rsidRPr="00B86B4D">
        <w:rPr>
          <w:color w:val="000000" w:themeColor="text1"/>
          <w:sz w:val="22"/>
          <w:szCs w:val="22"/>
        </w:rPr>
        <w:t xml:space="preserve"> is a measure of the relative quantity of observations found by one feature and </w:t>
      </w:r>
      <w:r w:rsidRPr="00B86B4D">
        <w:rPr>
          <w:i/>
          <w:color w:val="000000" w:themeColor="text1"/>
          <w:sz w:val="22"/>
          <w:szCs w:val="22"/>
        </w:rPr>
        <w:t>frequency</w:t>
      </w:r>
      <w:r w:rsidRPr="00B86B4D">
        <w:rPr>
          <w:color w:val="000000" w:themeColor="text1"/>
          <w:sz w:val="22"/>
          <w:szCs w:val="22"/>
        </w:rPr>
        <w:t xml:space="preserve"> is the percentage representing the relative number of time a feature is used in the trees of the model.</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3cc44097-c45d-4a96-aa33-6ec10b88d92a","http://www.mendeley.com/documents/?uuid=0f881da2-ff65-3941-bd4b-06a6af48e257"]}],"mendeley":{"formattedCitation":"&lt;sup&gt;14&lt;/sup&gt;","plainTextFormattedCitation":"14","previouslyFormattedCitation":"&lt;sup&gt;14&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14</w:t>
      </w:r>
      <w:r w:rsidRPr="00B86B4D">
        <w:rPr>
          <w:color w:val="000000" w:themeColor="text1"/>
          <w:sz w:val="22"/>
          <w:szCs w:val="22"/>
        </w:rPr>
        <w:fldChar w:fldCharType="end"/>
      </w:r>
      <w:r w:rsidRPr="00B86B4D">
        <w:rPr>
          <w:color w:val="000000" w:themeColor="text1"/>
          <w:sz w:val="22"/>
          <w:szCs w:val="22"/>
        </w:rPr>
        <w:t xml:space="preserve"> Gain is the most relevant metric to interpreting the rank and importance of each feature. </w:t>
      </w:r>
    </w:p>
    <w:p w14:paraId="3E51BA8A"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shd w:val="clear" w:color="auto" w:fill="FFFFFF"/>
        </w:rPr>
        <w:t xml:space="preserve">     Step 2. To evaluate the models, we used the evaluation metric </w:t>
      </w:r>
      <w:r w:rsidRPr="00B86B4D">
        <w:rPr>
          <w:color w:val="000000" w:themeColor="text1"/>
          <w:sz w:val="22"/>
          <w:szCs w:val="22"/>
        </w:rPr>
        <w:t>area under the curve</w:t>
      </w:r>
      <w:r w:rsidRPr="00B86B4D">
        <w:rPr>
          <w:color w:val="000000" w:themeColor="text1"/>
          <w:sz w:val="22"/>
          <w:szCs w:val="22"/>
          <w:shd w:val="clear" w:color="auto" w:fill="FFFFFF"/>
        </w:rPr>
        <w:t xml:space="preserve"> (</w:t>
      </w:r>
      <w:r w:rsidRPr="00B86B4D">
        <w:rPr>
          <w:color w:val="000000" w:themeColor="text1"/>
          <w:sz w:val="22"/>
          <w:szCs w:val="22"/>
        </w:rPr>
        <w:t xml:space="preserve">AUC). AUC were calculated from each model and used to determine discrimination of participants with cognitive frailty (case) from healthy individuals (control) in the training cohort. An AUC of 0.5 was considered chance, &gt; 0.8 informative, and &gt; 0.9 clinically relevant. </w:t>
      </w:r>
    </w:p>
    <w:p w14:paraId="606E0BBC" w14:textId="77777777" w:rsidR="00E75219" w:rsidRPr="00B86B4D" w:rsidRDefault="00E75219" w:rsidP="00F824C4">
      <w:pPr>
        <w:spacing w:line="360" w:lineRule="auto"/>
        <w:rPr>
          <w:color w:val="000000" w:themeColor="text1"/>
          <w:sz w:val="22"/>
          <w:szCs w:val="22"/>
        </w:rPr>
      </w:pPr>
      <w:r w:rsidRPr="00B86B4D">
        <w:rPr>
          <w:color w:val="000000" w:themeColor="text1"/>
          <w:sz w:val="22"/>
          <w:szCs w:val="22"/>
        </w:rPr>
        <w:t xml:space="preserve">     Step 3. Univariate analysis, </w:t>
      </w:r>
      <w:r w:rsidRPr="00B86B4D">
        <w:rPr>
          <w:i/>
          <w:iCs/>
          <w:color w:val="000000" w:themeColor="text1"/>
          <w:sz w:val="22"/>
          <w:szCs w:val="22"/>
          <w:bdr w:val="none" w:sz="0" w:space="0" w:color="auto" w:frame="1"/>
          <w:shd w:val="clear" w:color="auto" w:fill="FFFFFF"/>
        </w:rPr>
        <w:t>t-</w:t>
      </w:r>
      <w:r w:rsidRPr="00B86B4D">
        <w:rPr>
          <w:color w:val="000000" w:themeColor="text1"/>
          <w:sz w:val="22"/>
          <w:szCs w:val="22"/>
          <w:shd w:val="clear" w:color="auto" w:fill="FFFFFF"/>
        </w:rPr>
        <w:t xml:space="preserve">tests for continuous and chi-squared tests for binomial traits, were used to determine the significance of the predictor with a Bonferroni correction (to account for multiple comparisons). Of note, no further adjustment for multiple comparison was carried out due to the exploratory, hypothesis-generating nature of this study to protect against type II error (false negative) rather than type I. </w:t>
      </w:r>
      <w:r w:rsidRPr="00B86B4D">
        <w:rPr>
          <w:color w:val="000000" w:themeColor="text1"/>
          <w:sz w:val="22"/>
          <w:szCs w:val="22"/>
        </w:rPr>
        <w:t>To evaluate additive effects of SNPs, a positive regression coefficient means that each copy of the allele of interest increases the risk for the cognitive frailty phenotype.</w:t>
      </w:r>
      <w:r w:rsidRPr="00B86B4D">
        <w:rPr>
          <w:color w:val="000000" w:themeColor="text1"/>
          <w:sz w:val="22"/>
          <w:szCs w:val="22"/>
        </w:rPr>
        <w:fldChar w:fldCharType="begin" w:fldLock="1"/>
      </w:r>
      <w:r w:rsidRPr="00B86B4D">
        <w:rPr>
          <w:color w:val="000000" w:themeColor="text1"/>
          <w:sz w:val="22"/>
          <w:szCs w:val="22"/>
        </w:rPr>
        <w:instrText>ADDIN CSL_CITATION {"citationItems":[{"id":"ITEM-1","itemData":{"author":[{"dropping-particle":"","family":"Purcell, S, Neale, B, Todd-Brown, K, Thomas, L, Ferreira, MAR, Bender, D, Maller, J, Sklar, P, de Bakker, PIW, Daly, MJ, Sham","given":"PC","non-dropping-particle":"","parse-names":false,"suffix":""}],"container-title":"American Journal of Human Genetics","id":"ITEM-1","issued":{"date-parts":[["2007"]]},"title":"PLINK: a toolset for whole-genome association and population-based linkage analysis","type":"article-journal","volume":"81"},"uris":["http://www.mendeley.com/documents/?uuid=ec561dc7-47b6-4d15-aae0-1cc7e509b880","http://www.mendeley.com/documents/?uuid=62626b57-c9ea-4efa-a3ba-4713f928c736"]}],"mendeley":{"formattedCitation":"&lt;sup&gt;31&lt;/sup&gt;","plainTextFormattedCitation":"31","previouslyFormattedCitation":"&lt;sup&gt;31&lt;/sup&gt;"},"properties":{"noteIndex":0},"schema":"https://github.com/citation-style-language/schema/raw/master/csl-citation.json"}</w:instrText>
      </w:r>
      <w:r w:rsidRPr="00B86B4D">
        <w:rPr>
          <w:color w:val="000000" w:themeColor="text1"/>
          <w:sz w:val="22"/>
          <w:szCs w:val="22"/>
        </w:rPr>
        <w:fldChar w:fldCharType="separate"/>
      </w:r>
      <w:r w:rsidRPr="00B86B4D">
        <w:rPr>
          <w:noProof/>
          <w:color w:val="000000" w:themeColor="text1"/>
          <w:sz w:val="22"/>
          <w:szCs w:val="22"/>
          <w:vertAlign w:val="superscript"/>
        </w:rPr>
        <w:t>31</w:t>
      </w:r>
      <w:r w:rsidRPr="00B86B4D">
        <w:rPr>
          <w:color w:val="000000" w:themeColor="text1"/>
          <w:sz w:val="22"/>
          <w:szCs w:val="22"/>
        </w:rPr>
        <w:fldChar w:fldCharType="end"/>
      </w:r>
      <w:r w:rsidRPr="00B86B4D">
        <w:rPr>
          <w:color w:val="000000" w:themeColor="text1"/>
          <w:sz w:val="22"/>
          <w:szCs w:val="22"/>
        </w:rPr>
        <w:t xml:space="preserve"> </w:t>
      </w:r>
      <w:r w:rsidRPr="00B86B4D">
        <w:rPr>
          <w:color w:val="000000" w:themeColor="text1"/>
          <w:sz w:val="22"/>
          <w:szCs w:val="22"/>
          <w:shd w:val="clear" w:color="auto" w:fill="FFFFFF"/>
        </w:rPr>
        <w:t xml:space="preserve">Our study used the high-performance computational capabilities of the </w:t>
      </w:r>
      <w:proofErr w:type="spellStart"/>
      <w:r w:rsidRPr="00B86B4D">
        <w:rPr>
          <w:color w:val="000000" w:themeColor="text1"/>
          <w:sz w:val="22"/>
          <w:szCs w:val="22"/>
          <w:shd w:val="clear" w:color="auto" w:fill="FFFFFF"/>
        </w:rPr>
        <w:t>Biowulf</w:t>
      </w:r>
      <w:proofErr w:type="spellEnd"/>
      <w:r w:rsidRPr="00B86B4D">
        <w:rPr>
          <w:color w:val="000000" w:themeColor="text1"/>
          <w:sz w:val="22"/>
          <w:szCs w:val="22"/>
          <w:shd w:val="clear" w:color="auto" w:fill="FFFFFF"/>
        </w:rPr>
        <w:t xml:space="preserve"> Linux cluster at the National Institutes of Health (Bethesda, MD, USA).</w:t>
      </w:r>
      <w:r w:rsidRPr="00B86B4D">
        <w:rPr>
          <w:color w:val="000000" w:themeColor="text1"/>
          <w:sz w:val="22"/>
          <w:szCs w:val="22"/>
        </w:rPr>
        <w:t xml:space="preserve"> </w:t>
      </w:r>
    </w:p>
    <w:p w14:paraId="4C1BB718" w14:textId="310DEA17" w:rsidR="004E453C" w:rsidRDefault="00AF1727" w:rsidP="00F824C4">
      <w:pPr>
        <w:spacing w:line="360" w:lineRule="auto"/>
        <w:rPr>
          <w:color w:val="000000" w:themeColor="text1"/>
          <w:sz w:val="22"/>
          <w:szCs w:val="22"/>
        </w:rPr>
      </w:pPr>
      <w:r w:rsidRPr="00B86B4D">
        <w:rPr>
          <w:color w:val="000000" w:themeColor="text1"/>
          <w:sz w:val="22"/>
          <w:szCs w:val="22"/>
          <w:shd w:val="clear" w:color="auto" w:fill="FFFFFF"/>
        </w:rPr>
        <w:t xml:space="preserve">     </w:t>
      </w:r>
      <w:r w:rsidR="009A3767" w:rsidRPr="00B86B4D">
        <w:rPr>
          <w:color w:val="000000" w:themeColor="text1"/>
          <w:sz w:val="22"/>
          <w:szCs w:val="22"/>
          <w:shd w:val="clear" w:color="auto" w:fill="FFFFFF"/>
        </w:rPr>
        <w:t>Boosted ML models use “</w:t>
      </w:r>
      <w:proofErr w:type="spellStart"/>
      <w:r w:rsidR="009A3767" w:rsidRPr="00B86B4D">
        <w:rPr>
          <w:color w:val="000000" w:themeColor="text1"/>
          <w:sz w:val="22"/>
          <w:szCs w:val="22"/>
          <w:shd w:val="clear" w:color="auto" w:fill="FFFFFF"/>
        </w:rPr>
        <w:t>ensembling</w:t>
      </w:r>
      <w:proofErr w:type="spellEnd"/>
      <w:r w:rsidR="009A3767" w:rsidRPr="00B86B4D">
        <w:rPr>
          <w:color w:val="000000" w:themeColor="text1"/>
          <w:sz w:val="22"/>
          <w:szCs w:val="22"/>
          <w:shd w:val="clear" w:color="auto" w:fill="FFFFFF"/>
        </w:rPr>
        <w:t>”, a technique that can combine many independent predictors to model interacting systems and determine the top combined predictive factors associated with cognitive frailty.</w:t>
      </w:r>
      <w:r w:rsidR="009A3767" w:rsidRPr="00B86B4D">
        <w:rPr>
          <w:color w:val="000000" w:themeColor="text1"/>
          <w:sz w:val="22"/>
          <w:szCs w:val="22"/>
          <w:shd w:val="clear" w:color="auto" w:fill="FFFFFF"/>
        </w:rPr>
        <w:fldChar w:fldCharType="begin" w:fldLock="1"/>
      </w:r>
      <w:r w:rsidR="009A3767" w:rsidRPr="00B86B4D">
        <w:rPr>
          <w:color w:val="000000" w:themeColor="text1"/>
          <w:sz w:val="22"/>
          <w:szCs w:val="22"/>
          <w:shd w:val="clear" w:color="auto" w:fill="FFFFFF"/>
        </w:rPr>
        <w:instrText>ADDIN CSL_CITATION {"citationItems":[{"id":"ITEM-1","itemData":{"DOI":"10.1145/2939672.2939785&gt;","abstract":"Description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easily.","author":[{"dropping-particle":"","family":"Chen, Tianqi, He, Tong, Benesty, Michael, Khotilovich, Vadim, Tang","given":"Yuan","non-dropping-particle":"","parse-names":false,"suffix":""}],"id":"ITEM-1","issued":{"date-parts":[["2017"]]},"title":"'xgboost'-Extreme Gradient Boosting","type":"article-journal"},"uris":["http://www.mendeley.com/documents/?uuid=0f881da2-ff65-3941-bd4b-06a6af48e257","http://www.mendeley.com/documents/?uuid=3cc44097-c45d-4a96-aa33-6ec10b88d92a"]}],"mendeley":{"formattedCitation":"&lt;sup&gt;17&lt;/sup&gt;","plainTextFormattedCitation":"17","previouslyFormattedCitation":"&lt;sup&gt;17&lt;/sup&gt;"},"properties":{"noteIndex":0},"schema":"https://github.com/citation-style-language/schema/raw/master/csl-citation.json"}</w:instrText>
      </w:r>
      <w:r w:rsidR="009A3767" w:rsidRPr="00B86B4D">
        <w:rPr>
          <w:color w:val="000000" w:themeColor="text1"/>
          <w:sz w:val="22"/>
          <w:szCs w:val="22"/>
          <w:shd w:val="clear" w:color="auto" w:fill="FFFFFF"/>
        </w:rPr>
        <w:fldChar w:fldCharType="separate"/>
      </w:r>
      <w:r w:rsidR="009A3767" w:rsidRPr="00B86B4D">
        <w:rPr>
          <w:noProof/>
          <w:color w:val="000000" w:themeColor="text1"/>
          <w:sz w:val="22"/>
          <w:szCs w:val="22"/>
          <w:shd w:val="clear" w:color="auto" w:fill="FFFFFF"/>
          <w:vertAlign w:val="superscript"/>
        </w:rPr>
        <w:t>17</w:t>
      </w:r>
      <w:r w:rsidR="009A3767" w:rsidRPr="00B86B4D">
        <w:rPr>
          <w:color w:val="000000" w:themeColor="text1"/>
          <w:sz w:val="22"/>
          <w:szCs w:val="22"/>
          <w:shd w:val="clear" w:color="auto" w:fill="FFFFFF"/>
        </w:rPr>
        <w:fldChar w:fldCharType="end"/>
      </w:r>
      <w:r w:rsidR="009A3767" w:rsidRPr="00B86B4D">
        <w:rPr>
          <w:color w:val="000000" w:themeColor="text1"/>
          <w:sz w:val="22"/>
          <w:szCs w:val="22"/>
          <w:shd w:val="clear" w:color="auto" w:fill="FFFFFF"/>
        </w:rPr>
        <w:t xml:space="preserve"> </w:t>
      </w:r>
      <w:r w:rsidR="009A3767" w:rsidRPr="00B86B4D">
        <w:rPr>
          <w:color w:val="000000" w:themeColor="text1"/>
          <w:sz w:val="22"/>
          <w:szCs w:val="22"/>
        </w:rPr>
        <w:t>At least in theory, the determination of genetic and biological markers that define a clinical group should facilitate a better understanding of the interrelated pathology for cognitive impairment and physical frailty and promote new ideas for understanding complex interacting biological systems.</w:t>
      </w:r>
      <w:r w:rsidR="009A3767" w:rsidRPr="00B86B4D">
        <w:rPr>
          <w:color w:val="000000" w:themeColor="text1"/>
          <w:sz w:val="22"/>
          <w:szCs w:val="22"/>
          <w:shd w:val="clear" w:color="auto" w:fill="FFFFFF"/>
        </w:rPr>
        <w:t xml:space="preserve"> </w:t>
      </w:r>
      <w:r w:rsidR="00BE5BEB" w:rsidRPr="00B86B4D">
        <w:rPr>
          <w:color w:val="000000" w:themeColor="text1"/>
          <w:sz w:val="22"/>
          <w:szCs w:val="22"/>
          <w:shd w:val="clear" w:color="auto" w:fill="FFFFFF"/>
        </w:rPr>
        <w:t xml:space="preserve">The ML boosted model employs an unbiased logic that does not make assumptions about the relationship among predictors or apply weights in the scoring system. Boosting is an </w:t>
      </w:r>
      <w:proofErr w:type="spellStart"/>
      <w:r w:rsidR="00BE5BEB" w:rsidRPr="00B86B4D">
        <w:rPr>
          <w:color w:val="000000" w:themeColor="text1"/>
          <w:sz w:val="22"/>
          <w:szCs w:val="22"/>
          <w:shd w:val="clear" w:color="auto" w:fill="FFFFFF"/>
        </w:rPr>
        <w:t>ensembling</w:t>
      </w:r>
      <w:proofErr w:type="spellEnd"/>
      <w:r w:rsidR="00BE5BEB" w:rsidRPr="00B86B4D">
        <w:rPr>
          <w:color w:val="000000" w:themeColor="text1"/>
          <w:sz w:val="22"/>
          <w:szCs w:val="22"/>
          <w:shd w:val="clear" w:color="auto" w:fill="FFFFFF"/>
        </w:rPr>
        <w:t xml:space="preserve"> technique that employs a sequential algorithm which repetitively learns and improves as the model reaches a final prediction.</w:t>
      </w:r>
      <w:r w:rsidR="00BD4B61" w:rsidRPr="00B86B4D">
        <w:rPr>
          <w:color w:val="000000" w:themeColor="text1"/>
          <w:sz w:val="22"/>
          <w:szCs w:val="22"/>
          <w:shd w:val="clear" w:color="auto" w:fill="FFFFFF"/>
        </w:rPr>
        <w:t xml:space="preserve"> </w:t>
      </w:r>
      <w:r w:rsidR="00BD4B61" w:rsidRPr="00B86B4D">
        <w:rPr>
          <w:color w:val="000000" w:themeColor="text1"/>
          <w:sz w:val="22"/>
          <w:szCs w:val="22"/>
        </w:rPr>
        <w:t xml:space="preserve">Parameter </w:t>
      </w:r>
      <w:r w:rsidR="00BD4B61" w:rsidRPr="00B86B4D">
        <w:rPr>
          <w:color w:val="000000" w:themeColor="text1"/>
          <w:sz w:val="22"/>
          <w:szCs w:val="22"/>
        </w:rPr>
        <w:lastRenderedPageBreak/>
        <w:t>estimates for each predictive factor and associated descriptive statistics were evaluated to provide biological insight into the underpinnings of the classification algorithm.</w:t>
      </w:r>
    </w:p>
    <w:p w14:paraId="7DDA49B2" w14:textId="3A4A2D99" w:rsidR="007B57B8" w:rsidRDefault="007B57B8" w:rsidP="00F824C4">
      <w:pPr>
        <w:spacing w:line="360" w:lineRule="auto"/>
        <w:rPr>
          <w:color w:val="000000" w:themeColor="text1"/>
          <w:sz w:val="22"/>
          <w:szCs w:val="22"/>
        </w:rPr>
      </w:pPr>
    </w:p>
    <w:p w14:paraId="5DE0C627" w14:textId="77777777" w:rsidR="007B57B8" w:rsidRPr="00F279AF" w:rsidRDefault="007B57B8" w:rsidP="007B57B8">
      <w:pPr>
        <w:spacing w:line="360" w:lineRule="auto"/>
        <w:rPr>
          <w:b/>
          <w:color w:val="000000" w:themeColor="text1"/>
          <w:sz w:val="22"/>
          <w:szCs w:val="22"/>
        </w:rPr>
      </w:pPr>
      <w:r w:rsidRPr="00F279AF">
        <w:rPr>
          <w:b/>
          <w:color w:val="000000" w:themeColor="text1"/>
          <w:sz w:val="22"/>
          <w:szCs w:val="22"/>
        </w:rPr>
        <w:t xml:space="preserve">Table I. Sample characteristics of participants by phenotype </w:t>
      </w:r>
    </w:p>
    <w:tbl>
      <w:tblPr>
        <w:tblW w:w="0" w:type="auto"/>
        <w:tblInd w:w="-30" w:type="dxa"/>
        <w:tblLayout w:type="fixed"/>
        <w:tblLook w:val="0000" w:firstRow="0" w:lastRow="0" w:firstColumn="0" w:lastColumn="0" w:noHBand="0" w:noVBand="0"/>
      </w:tblPr>
      <w:tblGrid>
        <w:gridCol w:w="3715"/>
        <w:gridCol w:w="1800"/>
        <w:gridCol w:w="2435"/>
        <w:gridCol w:w="2250"/>
      </w:tblGrid>
      <w:tr w:rsidR="007B57B8" w:rsidRPr="00F279AF" w14:paraId="26EB91DF" w14:textId="77777777" w:rsidTr="00125B19">
        <w:trPr>
          <w:trHeight w:val="881"/>
        </w:trPr>
        <w:tc>
          <w:tcPr>
            <w:tcW w:w="3715" w:type="dxa"/>
            <w:tcBorders>
              <w:top w:val="single" w:sz="4" w:space="0" w:color="auto"/>
              <w:bottom w:val="single" w:sz="4" w:space="0" w:color="auto"/>
            </w:tcBorders>
            <w:vAlign w:val="bottom"/>
          </w:tcPr>
          <w:p w14:paraId="131E9D2A" w14:textId="77777777" w:rsidR="007B57B8" w:rsidRPr="00F279AF" w:rsidRDefault="007B57B8" w:rsidP="00125B19">
            <w:pPr>
              <w:autoSpaceDE w:val="0"/>
              <w:autoSpaceDN w:val="0"/>
              <w:adjustRightInd w:val="0"/>
              <w:spacing w:line="360" w:lineRule="auto"/>
              <w:rPr>
                <w:color w:val="000000" w:themeColor="text1"/>
                <w:sz w:val="22"/>
                <w:szCs w:val="22"/>
              </w:rPr>
            </w:pPr>
          </w:p>
        </w:tc>
        <w:tc>
          <w:tcPr>
            <w:tcW w:w="1800" w:type="dxa"/>
            <w:tcBorders>
              <w:top w:val="single" w:sz="4" w:space="0" w:color="auto"/>
              <w:bottom w:val="single" w:sz="4" w:space="0" w:color="auto"/>
            </w:tcBorders>
          </w:tcPr>
          <w:p w14:paraId="18800351" w14:textId="77777777" w:rsidR="007B57B8" w:rsidRPr="00F279AF" w:rsidRDefault="007B57B8" w:rsidP="00125B19">
            <w:pPr>
              <w:spacing w:line="360" w:lineRule="auto"/>
              <w:jc w:val="center"/>
              <w:rPr>
                <w:color w:val="000000" w:themeColor="text1"/>
                <w:sz w:val="22"/>
                <w:szCs w:val="22"/>
              </w:rPr>
            </w:pPr>
            <w:r w:rsidRPr="00F279AF">
              <w:rPr>
                <w:color w:val="000000" w:themeColor="text1"/>
                <w:sz w:val="22"/>
                <w:szCs w:val="22"/>
              </w:rPr>
              <w:t>Cognitive Frailty</w:t>
            </w:r>
          </w:p>
          <w:p w14:paraId="020BF09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(MMSE)</w:t>
            </w:r>
          </w:p>
        </w:tc>
        <w:tc>
          <w:tcPr>
            <w:tcW w:w="2435" w:type="dxa"/>
            <w:tcBorders>
              <w:top w:val="single" w:sz="4" w:space="0" w:color="auto"/>
              <w:bottom w:val="single" w:sz="4" w:space="0" w:color="auto"/>
            </w:tcBorders>
            <w:vAlign w:val="center"/>
          </w:tcPr>
          <w:p w14:paraId="1F1A03F0" w14:textId="77777777" w:rsidR="007B57B8" w:rsidRPr="00F279AF" w:rsidRDefault="007B57B8" w:rsidP="00125B19">
            <w:pPr>
              <w:spacing w:line="360" w:lineRule="auto"/>
              <w:jc w:val="center"/>
              <w:rPr>
                <w:color w:val="000000" w:themeColor="text1"/>
                <w:sz w:val="22"/>
                <w:szCs w:val="22"/>
              </w:rPr>
            </w:pPr>
            <w:r w:rsidRPr="00F279AF">
              <w:rPr>
                <w:color w:val="000000" w:themeColor="text1"/>
                <w:sz w:val="22"/>
                <w:szCs w:val="22"/>
              </w:rPr>
              <w:t>Cognitive Frailty</w:t>
            </w:r>
          </w:p>
          <w:p w14:paraId="4415C650"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(Trail-A)</w:t>
            </w:r>
          </w:p>
          <w:p w14:paraId="1265B76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Borders>
              <w:top w:val="single" w:sz="4" w:space="0" w:color="auto"/>
              <w:bottom w:val="single" w:sz="4" w:space="0" w:color="auto"/>
            </w:tcBorders>
          </w:tcPr>
          <w:p w14:paraId="633A3ADE" w14:textId="77777777" w:rsidR="007B57B8" w:rsidRPr="00F279AF" w:rsidRDefault="007B57B8" w:rsidP="00125B19">
            <w:pPr>
              <w:spacing w:line="360" w:lineRule="auto"/>
              <w:jc w:val="center"/>
              <w:rPr>
                <w:color w:val="000000" w:themeColor="text1"/>
                <w:sz w:val="22"/>
                <w:szCs w:val="22"/>
              </w:rPr>
            </w:pPr>
            <w:r w:rsidRPr="00F279AF">
              <w:rPr>
                <w:color w:val="000000" w:themeColor="text1"/>
                <w:sz w:val="22"/>
                <w:szCs w:val="22"/>
              </w:rPr>
              <w:t>Cognitive Frailty</w:t>
            </w:r>
          </w:p>
          <w:p w14:paraId="4BF13CED"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 xml:space="preserve">(Trail-B) </w:t>
            </w:r>
          </w:p>
          <w:p w14:paraId="00BB279E"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63BF280A" w14:textId="77777777" w:rsidTr="00125B19">
        <w:trPr>
          <w:trHeight w:val="288"/>
        </w:trPr>
        <w:tc>
          <w:tcPr>
            <w:tcW w:w="3715" w:type="dxa"/>
            <w:tcBorders>
              <w:top w:val="single" w:sz="4" w:space="0" w:color="auto"/>
            </w:tcBorders>
            <w:vAlign w:val="bottom"/>
          </w:tcPr>
          <w:p w14:paraId="3647D7B4"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Phenotype (n)</w:t>
            </w:r>
          </w:p>
        </w:tc>
        <w:tc>
          <w:tcPr>
            <w:tcW w:w="1800" w:type="dxa"/>
            <w:tcBorders>
              <w:top w:val="single" w:sz="4" w:space="0" w:color="auto"/>
            </w:tcBorders>
          </w:tcPr>
          <w:p w14:paraId="7D2AE280" w14:textId="77777777" w:rsidR="007B57B8" w:rsidRPr="00F279AF" w:rsidRDefault="007B57B8" w:rsidP="00125B19">
            <w:pPr>
              <w:jc w:val="center"/>
              <w:rPr>
                <w:color w:val="000000" w:themeColor="text1"/>
                <w:sz w:val="22"/>
                <w:szCs w:val="22"/>
              </w:rPr>
            </w:pPr>
            <w:r w:rsidRPr="00F279AF">
              <w:rPr>
                <w:color w:val="000000" w:themeColor="text1"/>
                <w:sz w:val="22"/>
                <w:szCs w:val="22"/>
              </w:rPr>
              <w:t>(n=257)</w:t>
            </w:r>
          </w:p>
        </w:tc>
        <w:tc>
          <w:tcPr>
            <w:tcW w:w="2435" w:type="dxa"/>
            <w:tcBorders>
              <w:top w:val="single" w:sz="4" w:space="0" w:color="auto"/>
            </w:tcBorders>
          </w:tcPr>
          <w:p w14:paraId="71404361" w14:textId="77777777" w:rsidR="007B57B8" w:rsidRPr="00F279AF" w:rsidRDefault="007B57B8" w:rsidP="00125B19">
            <w:pPr>
              <w:jc w:val="center"/>
              <w:rPr>
                <w:color w:val="000000" w:themeColor="text1"/>
                <w:sz w:val="22"/>
                <w:szCs w:val="22"/>
              </w:rPr>
            </w:pPr>
            <w:r w:rsidRPr="00F279AF">
              <w:rPr>
                <w:color w:val="000000" w:themeColor="text1"/>
                <w:sz w:val="22"/>
                <w:szCs w:val="22"/>
              </w:rPr>
              <w:t>(n=302)</w:t>
            </w:r>
          </w:p>
        </w:tc>
        <w:tc>
          <w:tcPr>
            <w:tcW w:w="2250" w:type="dxa"/>
            <w:tcBorders>
              <w:top w:val="single" w:sz="4" w:space="0" w:color="auto"/>
            </w:tcBorders>
          </w:tcPr>
          <w:p w14:paraId="4965DC3F" w14:textId="77777777" w:rsidR="007B57B8" w:rsidRPr="00F279AF" w:rsidRDefault="007B57B8" w:rsidP="00125B19">
            <w:pPr>
              <w:jc w:val="center"/>
              <w:rPr>
                <w:color w:val="000000" w:themeColor="text1"/>
                <w:sz w:val="22"/>
                <w:szCs w:val="22"/>
              </w:rPr>
            </w:pPr>
            <w:r w:rsidRPr="00F279AF">
              <w:rPr>
                <w:color w:val="000000" w:themeColor="text1"/>
                <w:sz w:val="22"/>
                <w:szCs w:val="22"/>
              </w:rPr>
              <w:t>(n=325)</w:t>
            </w:r>
          </w:p>
        </w:tc>
      </w:tr>
      <w:tr w:rsidR="007B57B8" w:rsidRPr="00F279AF" w14:paraId="1FB2FD9D" w14:textId="77777777" w:rsidTr="00125B19">
        <w:trPr>
          <w:trHeight w:val="288"/>
        </w:trPr>
        <w:tc>
          <w:tcPr>
            <w:tcW w:w="3715" w:type="dxa"/>
          </w:tcPr>
          <w:p w14:paraId="376FE897"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 xml:space="preserve">Age, </w:t>
            </w:r>
            <w:r w:rsidRPr="00F279AF">
              <w:rPr>
                <w:color w:val="000000" w:themeColor="text1"/>
                <w:sz w:val="22"/>
                <w:szCs w:val="22"/>
              </w:rPr>
              <w:t>mean (SD)</w:t>
            </w:r>
          </w:p>
        </w:tc>
        <w:tc>
          <w:tcPr>
            <w:tcW w:w="1800" w:type="dxa"/>
            <w:vAlign w:val="center"/>
          </w:tcPr>
          <w:p w14:paraId="5B3AC457" w14:textId="77777777" w:rsidR="007B57B8" w:rsidRPr="00F279AF" w:rsidRDefault="007B57B8" w:rsidP="00125B19">
            <w:pPr>
              <w:spacing w:line="360" w:lineRule="auto"/>
              <w:jc w:val="center"/>
              <w:rPr>
                <w:color w:val="000000" w:themeColor="text1"/>
                <w:sz w:val="22"/>
                <w:szCs w:val="22"/>
              </w:rPr>
            </w:pPr>
          </w:p>
        </w:tc>
        <w:tc>
          <w:tcPr>
            <w:tcW w:w="2435" w:type="dxa"/>
          </w:tcPr>
          <w:p w14:paraId="788B357D"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Pr>
          <w:p w14:paraId="0F8FEE3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008968D5" w14:textId="77777777" w:rsidTr="00125B19">
        <w:trPr>
          <w:trHeight w:val="288"/>
        </w:trPr>
        <w:tc>
          <w:tcPr>
            <w:tcW w:w="3715" w:type="dxa"/>
          </w:tcPr>
          <w:p w14:paraId="30B84202"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Control</w:t>
            </w:r>
          </w:p>
        </w:tc>
        <w:tc>
          <w:tcPr>
            <w:tcW w:w="1800" w:type="dxa"/>
          </w:tcPr>
          <w:p w14:paraId="27C915A1"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73 (6.4)</w:t>
            </w:r>
          </w:p>
        </w:tc>
        <w:tc>
          <w:tcPr>
            <w:tcW w:w="2435" w:type="dxa"/>
          </w:tcPr>
          <w:p w14:paraId="684F7F3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64 (15.6)</w:t>
            </w:r>
          </w:p>
        </w:tc>
        <w:tc>
          <w:tcPr>
            <w:tcW w:w="2250" w:type="dxa"/>
          </w:tcPr>
          <w:p w14:paraId="4CD0C7A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61 (16.2)</w:t>
            </w:r>
          </w:p>
        </w:tc>
      </w:tr>
      <w:tr w:rsidR="007B57B8" w:rsidRPr="00F279AF" w14:paraId="42A90750" w14:textId="77777777" w:rsidTr="00125B19">
        <w:trPr>
          <w:trHeight w:val="288"/>
        </w:trPr>
        <w:tc>
          <w:tcPr>
            <w:tcW w:w="3715" w:type="dxa"/>
          </w:tcPr>
          <w:p w14:paraId="32876834"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Cognitive frailty </w:t>
            </w:r>
          </w:p>
        </w:tc>
        <w:tc>
          <w:tcPr>
            <w:tcW w:w="1800" w:type="dxa"/>
          </w:tcPr>
          <w:p w14:paraId="0FB56EE8"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82 (7.4)</w:t>
            </w:r>
          </w:p>
        </w:tc>
        <w:tc>
          <w:tcPr>
            <w:tcW w:w="2435" w:type="dxa"/>
          </w:tcPr>
          <w:p w14:paraId="3E6C7B5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78 (7.4)</w:t>
            </w:r>
          </w:p>
        </w:tc>
        <w:tc>
          <w:tcPr>
            <w:tcW w:w="2250" w:type="dxa"/>
          </w:tcPr>
          <w:p w14:paraId="62C535AD"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76 (6.9)</w:t>
            </w:r>
          </w:p>
        </w:tc>
      </w:tr>
      <w:tr w:rsidR="007B57B8" w:rsidRPr="00F279AF" w14:paraId="3520E448" w14:textId="77777777" w:rsidTr="00125B19">
        <w:trPr>
          <w:trHeight w:val="288"/>
        </w:trPr>
        <w:tc>
          <w:tcPr>
            <w:tcW w:w="3715" w:type="dxa"/>
          </w:tcPr>
          <w:p w14:paraId="698A5D41"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 xml:space="preserve">Anticholinergic Burden, </w:t>
            </w:r>
            <w:r w:rsidRPr="00F279AF">
              <w:rPr>
                <w:color w:val="000000" w:themeColor="text1"/>
                <w:sz w:val="22"/>
                <w:szCs w:val="22"/>
              </w:rPr>
              <w:t>mean (SD)</w:t>
            </w:r>
          </w:p>
        </w:tc>
        <w:tc>
          <w:tcPr>
            <w:tcW w:w="1800" w:type="dxa"/>
          </w:tcPr>
          <w:p w14:paraId="7C28749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435" w:type="dxa"/>
          </w:tcPr>
          <w:p w14:paraId="370E5106"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Pr>
          <w:p w14:paraId="3B47309E"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3DD78527" w14:textId="77777777" w:rsidTr="00125B19">
        <w:trPr>
          <w:trHeight w:val="288"/>
        </w:trPr>
        <w:tc>
          <w:tcPr>
            <w:tcW w:w="3715" w:type="dxa"/>
          </w:tcPr>
          <w:p w14:paraId="49E2718D"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Control</w:t>
            </w:r>
          </w:p>
        </w:tc>
        <w:tc>
          <w:tcPr>
            <w:tcW w:w="1800" w:type="dxa"/>
          </w:tcPr>
          <w:p w14:paraId="0F2B0E6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2.2 (2.0)</w:t>
            </w:r>
          </w:p>
        </w:tc>
        <w:tc>
          <w:tcPr>
            <w:tcW w:w="2435" w:type="dxa"/>
          </w:tcPr>
          <w:p w14:paraId="01D5747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1.9 (1.8)</w:t>
            </w:r>
          </w:p>
        </w:tc>
        <w:tc>
          <w:tcPr>
            <w:tcW w:w="2250" w:type="dxa"/>
          </w:tcPr>
          <w:p w14:paraId="74E2DA24"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1.7 (1.7)</w:t>
            </w:r>
          </w:p>
        </w:tc>
      </w:tr>
      <w:tr w:rsidR="007B57B8" w:rsidRPr="00F279AF" w14:paraId="0E32E996" w14:textId="77777777" w:rsidTr="00125B19">
        <w:trPr>
          <w:trHeight w:val="288"/>
        </w:trPr>
        <w:tc>
          <w:tcPr>
            <w:tcW w:w="3715" w:type="dxa"/>
          </w:tcPr>
          <w:p w14:paraId="101BED22"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Cognitive frailty</w:t>
            </w:r>
          </w:p>
        </w:tc>
        <w:tc>
          <w:tcPr>
            <w:tcW w:w="1800" w:type="dxa"/>
          </w:tcPr>
          <w:p w14:paraId="1A64DB2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3.0 (2.2)</w:t>
            </w:r>
          </w:p>
        </w:tc>
        <w:tc>
          <w:tcPr>
            <w:tcW w:w="2435" w:type="dxa"/>
          </w:tcPr>
          <w:p w14:paraId="2A389B5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3.0 (2.2)</w:t>
            </w:r>
          </w:p>
        </w:tc>
        <w:tc>
          <w:tcPr>
            <w:tcW w:w="2250" w:type="dxa"/>
          </w:tcPr>
          <w:p w14:paraId="58AD5F6E"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2.8 (2.2)</w:t>
            </w:r>
          </w:p>
        </w:tc>
      </w:tr>
      <w:tr w:rsidR="007B57B8" w:rsidRPr="00F279AF" w14:paraId="1B75C1D6" w14:textId="77777777" w:rsidTr="00125B19">
        <w:trPr>
          <w:trHeight w:val="288"/>
        </w:trPr>
        <w:tc>
          <w:tcPr>
            <w:tcW w:w="3715" w:type="dxa"/>
          </w:tcPr>
          <w:p w14:paraId="5237E52D"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Gender, %</w:t>
            </w:r>
          </w:p>
        </w:tc>
        <w:tc>
          <w:tcPr>
            <w:tcW w:w="1800" w:type="dxa"/>
          </w:tcPr>
          <w:p w14:paraId="455FC657"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(n)</w:t>
            </w:r>
          </w:p>
        </w:tc>
        <w:tc>
          <w:tcPr>
            <w:tcW w:w="2435" w:type="dxa"/>
          </w:tcPr>
          <w:p w14:paraId="0648CD07"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(n)</w:t>
            </w:r>
          </w:p>
        </w:tc>
        <w:tc>
          <w:tcPr>
            <w:tcW w:w="2250" w:type="dxa"/>
          </w:tcPr>
          <w:p w14:paraId="31EE3BB8"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(n)</w:t>
            </w:r>
          </w:p>
        </w:tc>
      </w:tr>
      <w:tr w:rsidR="007B57B8" w:rsidRPr="00F279AF" w14:paraId="04EEAF4C" w14:textId="77777777" w:rsidTr="00125B19">
        <w:trPr>
          <w:trHeight w:val="288"/>
        </w:trPr>
        <w:tc>
          <w:tcPr>
            <w:tcW w:w="3715" w:type="dxa"/>
          </w:tcPr>
          <w:p w14:paraId="0F99E6DE"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Male</w:t>
            </w:r>
          </w:p>
        </w:tc>
        <w:tc>
          <w:tcPr>
            <w:tcW w:w="1800" w:type="dxa"/>
          </w:tcPr>
          <w:p w14:paraId="1E3A8800"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31.9 (82)</w:t>
            </w:r>
          </w:p>
        </w:tc>
        <w:tc>
          <w:tcPr>
            <w:tcW w:w="2435" w:type="dxa"/>
          </w:tcPr>
          <w:p w14:paraId="46802810"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35.1 (106)</w:t>
            </w:r>
          </w:p>
        </w:tc>
        <w:tc>
          <w:tcPr>
            <w:tcW w:w="2250" w:type="dxa"/>
          </w:tcPr>
          <w:p w14:paraId="3D8DD344"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36.0 (117)</w:t>
            </w:r>
          </w:p>
        </w:tc>
      </w:tr>
      <w:tr w:rsidR="007B57B8" w:rsidRPr="00F279AF" w14:paraId="34368F7F" w14:textId="77777777" w:rsidTr="00125B19">
        <w:trPr>
          <w:trHeight w:val="288"/>
        </w:trPr>
        <w:tc>
          <w:tcPr>
            <w:tcW w:w="3715" w:type="dxa"/>
          </w:tcPr>
          <w:p w14:paraId="53C7B70C" w14:textId="77777777" w:rsidR="007B57B8" w:rsidRPr="00F279AF" w:rsidRDefault="007B57B8" w:rsidP="00125B19">
            <w:pPr>
              <w:autoSpaceDE w:val="0"/>
              <w:autoSpaceDN w:val="0"/>
              <w:adjustRightInd w:val="0"/>
              <w:spacing w:line="360" w:lineRule="auto"/>
              <w:rPr>
                <w:color w:val="000000" w:themeColor="text1"/>
                <w:sz w:val="22"/>
                <w:szCs w:val="22"/>
              </w:rPr>
            </w:pPr>
            <w:r w:rsidRPr="00F279AF">
              <w:rPr>
                <w:color w:val="000000" w:themeColor="text1"/>
                <w:sz w:val="22"/>
                <w:szCs w:val="22"/>
              </w:rPr>
              <w:t xml:space="preserve">    Female</w:t>
            </w:r>
          </w:p>
        </w:tc>
        <w:tc>
          <w:tcPr>
            <w:tcW w:w="1800" w:type="dxa"/>
          </w:tcPr>
          <w:p w14:paraId="2FC6294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68.0 (175)</w:t>
            </w:r>
          </w:p>
        </w:tc>
        <w:tc>
          <w:tcPr>
            <w:tcW w:w="2435" w:type="dxa"/>
          </w:tcPr>
          <w:p w14:paraId="602AE53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64.9 (196)</w:t>
            </w:r>
          </w:p>
        </w:tc>
        <w:tc>
          <w:tcPr>
            <w:tcW w:w="2250" w:type="dxa"/>
          </w:tcPr>
          <w:p w14:paraId="68A8F11B"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64.0 (208)</w:t>
            </w:r>
          </w:p>
        </w:tc>
      </w:tr>
      <w:tr w:rsidR="007B57B8" w:rsidRPr="00F279AF" w14:paraId="24949FAA" w14:textId="77777777" w:rsidTr="00125B19">
        <w:trPr>
          <w:trHeight w:val="288"/>
        </w:trPr>
        <w:tc>
          <w:tcPr>
            <w:tcW w:w="3715" w:type="dxa"/>
          </w:tcPr>
          <w:p w14:paraId="2C2BCA30" w14:textId="77777777" w:rsidR="007B57B8" w:rsidRPr="00F279AF" w:rsidRDefault="007B57B8" w:rsidP="00125B19">
            <w:pPr>
              <w:autoSpaceDE w:val="0"/>
              <w:autoSpaceDN w:val="0"/>
              <w:adjustRightInd w:val="0"/>
              <w:spacing w:line="360" w:lineRule="auto"/>
              <w:rPr>
                <w:bCs/>
                <w:color w:val="000000" w:themeColor="text1"/>
                <w:sz w:val="22"/>
                <w:szCs w:val="22"/>
              </w:rPr>
            </w:pPr>
            <w:r w:rsidRPr="00F279AF">
              <w:rPr>
                <w:bCs/>
                <w:color w:val="000000" w:themeColor="text1"/>
                <w:sz w:val="22"/>
                <w:szCs w:val="22"/>
              </w:rPr>
              <w:t xml:space="preserve">Depressive symptoms (CES-D </w:t>
            </w:r>
            <w:r w:rsidRPr="00F279AF">
              <w:rPr>
                <w:rFonts w:ascii="Cambria Math" w:eastAsia="MS Mincho" w:hAnsi="Cambria Math" w:cs="Cambria Math"/>
                <w:color w:val="000000" w:themeColor="text1"/>
                <w:sz w:val="22"/>
                <w:szCs w:val="22"/>
              </w:rPr>
              <w:t>≧</w:t>
            </w:r>
            <w:r w:rsidRPr="00F279AF">
              <w:rPr>
                <w:rFonts w:eastAsia="MS Mincho"/>
                <w:color w:val="000000" w:themeColor="text1"/>
                <w:sz w:val="22"/>
                <w:szCs w:val="22"/>
              </w:rPr>
              <w:t xml:space="preserve"> 16)</w:t>
            </w:r>
          </w:p>
        </w:tc>
        <w:tc>
          <w:tcPr>
            <w:tcW w:w="1800" w:type="dxa"/>
          </w:tcPr>
          <w:p w14:paraId="26F85F1E"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42.8 (110)</w:t>
            </w:r>
          </w:p>
        </w:tc>
        <w:tc>
          <w:tcPr>
            <w:tcW w:w="2435" w:type="dxa"/>
          </w:tcPr>
          <w:p w14:paraId="2165C6E9"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50.0 (151)</w:t>
            </w:r>
          </w:p>
        </w:tc>
        <w:tc>
          <w:tcPr>
            <w:tcW w:w="2250" w:type="dxa"/>
          </w:tcPr>
          <w:p w14:paraId="588C9749"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color w:val="000000" w:themeColor="text1"/>
                <w:sz w:val="22"/>
                <w:szCs w:val="22"/>
              </w:rPr>
              <w:t>46.8 (152)</w:t>
            </w:r>
          </w:p>
        </w:tc>
      </w:tr>
      <w:tr w:rsidR="007B57B8" w:rsidRPr="00F279AF" w14:paraId="14DB282E" w14:textId="77777777" w:rsidTr="00125B19">
        <w:trPr>
          <w:trHeight w:val="288"/>
        </w:trPr>
        <w:tc>
          <w:tcPr>
            <w:tcW w:w="3715" w:type="dxa"/>
            <w:vAlign w:val="center"/>
          </w:tcPr>
          <w:p w14:paraId="74BE15EB" w14:textId="77777777" w:rsidR="007B57B8" w:rsidRPr="00F279AF" w:rsidRDefault="007B57B8" w:rsidP="00125B19">
            <w:pPr>
              <w:spacing w:line="360" w:lineRule="auto"/>
              <w:rPr>
                <w:color w:val="000000" w:themeColor="text1"/>
                <w:sz w:val="22"/>
                <w:szCs w:val="22"/>
              </w:rPr>
            </w:pPr>
            <w:r w:rsidRPr="00F279AF">
              <w:rPr>
                <w:color w:val="000000" w:themeColor="text1"/>
                <w:sz w:val="22"/>
                <w:szCs w:val="22"/>
              </w:rPr>
              <w:t>Education, %</w:t>
            </w:r>
          </w:p>
        </w:tc>
        <w:tc>
          <w:tcPr>
            <w:tcW w:w="1800" w:type="dxa"/>
          </w:tcPr>
          <w:p w14:paraId="3B5BDE6B"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435" w:type="dxa"/>
          </w:tcPr>
          <w:p w14:paraId="4E708710"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c>
          <w:tcPr>
            <w:tcW w:w="2250" w:type="dxa"/>
          </w:tcPr>
          <w:p w14:paraId="4DFA42A2" w14:textId="77777777" w:rsidR="007B57B8" w:rsidRPr="00F279AF" w:rsidRDefault="007B57B8" w:rsidP="00125B19">
            <w:pPr>
              <w:autoSpaceDE w:val="0"/>
              <w:autoSpaceDN w:val="0"/>
              <w:adjustRightInd w:val="0"/>
              <w:spacing w:line="360" w:lineRule="auto"/>
              <w:jc w:val="center"/>
              <w:rPr>
                <w:color w:val="000000" w:themeColor="text1"/>
                <w:sz w:val="22"/>
                <w:szCs w:val="22"/>
              </w:rPr>
            </w:pPr>
          </w:p>
        </w:tc>
      </w:tr>
      <w:tr w:rsidR="007B57B8" w:rsidRPr="00F279AF" w14:paraId="1102B208" w14:textId="77777777" w:rsidTr="00125B19">
        <w:trPr>
          <w:trHeight w:val="288"/>
        </w:trPr>
        <w:tc>
          <w:tcPr>
            <w:tcW w:w="3715" w:type="dxa"/>
            <w:vAlign w:val="center"/>
          </w:tcPr>
          <w:p w14:paraId="36A132B2" w14:textId="77777777" w:rsidR="007B57B8" w:rsidRPr="00F279AF" w:rsidRDefault="007B57B8" w:rsidP="00125B19">
            <w:pPr>
              <w:spacing w:line="360" w:lineRule="auto"/>
              <w:rPr>
                <w:rFonts w:eastAsia="Times New Roman"/>
                <w:color w:val="000000" w:themeColor="text1"/>
                <w:sz w:val="22"/>
                <w:szCs w:val="22"/>
              </w:rPr>
            </w:pPr>
            <w:r w:rsidRPr="00F279AF">
              <w:rPr>
                <w:rFonts w:eastAsia="Times New Roman"/>
                <w:color w:val="000000" w:themeColor="text1"/>
                <w:sz w:val="22"/>
                <w:szCs w:val="22"/>
              </w:rPr>
              <w:t xml:space="preserve">    Elementary</w:t>
            </w:r>
          </w:p>
        </w:tc>
        <w:tc>
          <w:tcPr>
            <w:tcW w:w="1800" w:type="dxa"/>
            <w:vAlign w:val="bottom"/>
          </w:tcPr>
          <w:p w14:paraId="6122A32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58.8 (151)</w:t>
            </w:r>
          </w:p>
        </w:tc>
        <w:tc>
          <w:tcPr>
            <w:tcW w:w="2435" w:type="dxa"/>
            <w:vAlign w:val="bottom"/>
          </w:tcPr>
          <w:p w14:paraId="08DA6D8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46.4 (140)</w:t>
            </w:r>
          </w:p>
        </w:tc>
        <w:tc>
          <w:tcPr>
            <w:tcW w:w="2250" w:type="dxa"/>
            <w:vAlign w:val="bottom"/>
          </w:tcPr>
          <w:p w14:paraId="3EA9BE9F"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30.8 (100)</w:t>
            </w:r>
          </w:p>
        </w:tc>
      </w:tr>
      <w:tr w:rsidR="007B57B8" w:rsidRPr="00F279AF" w14:paraId="5509D58A" w14:textId="77777777" w:rsidTr="00125B19">
        <w:trPr>
          <w:trHeight w:val="288"/>
        </w:trPr>
        <w:tc>
          <w:tcPr>
            <w:tcW w:w="3715" w:type="dxa"/>
            <w:vAlign w:val="center"/>
          </w:tcPr>
          <w:p w14:paraId="2F748F56" w14:textId="77777777" w:rsidR="007B57B8" w:rsidRPr="00F279AF" w:rsidRDefault="007B57B8" w:rsidP="00125B19">
            <w:pPr>
              <w:spacing w:line="360" w:lineRule="auto"/>
              <w:rPr>
                <w:rFonts w:eastAsia="Times New Roman"/>
                <w:color w:val="000000" w:themeColor="text1"/>
                <w:sz w:val="22"/>
                <w:szCs w:val="22"/>
              </w:rPr>
            </w:pPr>
            <w:r w:rsidRPr="00F279AF">
              <w:rPr>
                <w:rFonts w:eastAsia="Times New Roman"/>
                <w:color w:val="000000" w:themeColor="text1"/>
                <w:sz w:val="22"/>
                <w:szCs w:val="22"/>
              </w:rPr>
              <w:t xml:space="preserve">    Secondary</w:t>
            </w:r>
          </w:p>
        </w:tc>
        <w:tc>
          <w:tcPr>
            <w:tcW w:w="1800" w:type="dxa"/>
            <w:vAlign w:val="bottom"/>
          </w:tcPr>
          <w:p w14:paraId="25AB9316"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37.7 (97)</w:t>
            </w:r>
          </w:p>
        </w:tc>
        <w:tc>
          <w:tcPr>
            <w:tcW w:w="2435" w:type="dxa"/>
            <w:vAlign w:val="bottom"/>
          </w:tcPr>
          <w:p w14:paraId="4236795A"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49.3 (149)</w:t>
            </w:r>
          </w:p>
        </w:tc>
        <w:tc>
          <w:tcPr>
            <w:tcW w:w="2250" w:type="dxa"/>
            <w:vAlign w:val="bottom"/>
          </w:tcPr>
          <w:p w14:paraId="3EDA3AAD"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61.5 (200)</w:t>
            </w:r>
          </w:p>
        </w:tc>
      </w:tr>
      <w:tr w:rsidR="007B57B8" w:rsidRPr="00F279AF" w14:paraId="57BA3FE9" w14:textId="77777777" w:rsidTr="00125B19">
        <w:trPr>
          <w:trHeight w:val="288"/>
        </w:trPr>
        <w:tc>
          <w:tcPr>
            <w:tcW w:w="3715" w:type="dxa"/>
            <w:tcBorders>
              <w:bottom w:val="single" w:sz="4" w:space="0" w:color="auto"/>
            </w:tcBorders>
            <w:vAlign w:val="center"/>
          </w:tcPr>
          <w:p w14:paraId="7551EF0A" w14:textId="77777777" w:rsidR="007B57B8" w:rsidRPr="00F279AF" w:rsidRDefault="007B57B8" w:rsidP="00125B19">
            <w:pPr>
              <w:spacing w:line="360" w:lineRule="auto"/>
              <w:rPr>
                <w:rFonts w:eastAsia="Times New Roman"/>
                <w:color w:val="000000" w:themeColor="text1"/>
                <w:sz w:val="22"/>
                <w:szCs w:val="22"/>
              </w:rPr>
            </w:pPr>
            <w:r w:rsidRPr="00F279AF">
              <w:rPr>
                <w:rFonts w:eastAsia="MS Mincho"/>
                <w:color w:val="000000" w:themeColor="text1"/>
                <w:sz w:val="22"/>
                <w:szCs w:val="22"/>
              </w:rPr>
              <w:t xml:space="preserve">    </w:t>
            </w:r>
            <w:r w:rsidRPr="00F279AF">
              <w:rPr>
                <w:rFonts w:ascii="Cambria Math" w:eastAsia="MS Mincho" w:hAnsi="Cambria Math" w:cs="Cambria Math"/>
                <w:color w:val="000000" w:themeColor="text1"/>
                <w:sz w:val="22"/>
                <w:szCs w:val="22"/>
              </w:rPr>
              <w:t>≧</w:t>
            </w:r>
            <w:r w:rsidRPr="00F279AF">
              <w:rPr>
                <w:rFonts w:eastAsia="Times New Roman"/>
                <w:color w:val="000000" w:themeColor="text1"/>
                <w:sz w:val="22"/>
                <w:szCs w:val="22"/>
              </w:rPr>
              <w:t xml:space="preserve"> High School</w:t>
            </w:r>
          </w:p>
        </w:tc>
        <w:tc>
          <w:tcPr>
            <w:tcW w:w="1800" w:type="dxa"/>
            <w:tcBorders>
              <w:bottom w:val="single" w:sz="4" w:space="0" w:color="auto"/>
            </w:tcBorders>
            <w:vAlign w:val="bottom"/>
          </w:tcPr>
          <w:p w14:paraId="634C3FA7"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1.9 (5)</w:t>
            </w:r>
          </w:p>
        </w:tc>
        <w:tc>
          <w:tcPr>
            <w:tcW w:w="2435" w:type="dxa"/>
            <w:tcBorders>
              <w:bottom w:val="single" w:sz="4" w:space="0" w:color="auto"/>
            </w:tcBorders>
            <w:vAlign w:val="bottom"/>
          </w:tcPr>
          <w:p w14:paraId="7F32CE98"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3.3 (10)</w:t>
            </w:r>
          </w:p>
        </w:tc>
        <w:tc>
          <w:tcPr>
            <w:tcW w:w="2250" w:type="dxa"/>
            <w:tcBorders>
              <w:bottom w:val="single" w:sz="4" w:space="0" w:color="auto"/>
            </w:tcBorders>
            <w:vAlign w:val="bottom"/>
          </w:tcPr>
          <w:p w14:paraId="5B2C90C2" w14:textId="77777777" w:rsidR="007B57B8" w:rsidRPr="00F279AF" w:rsidRDefault="007B57B8" w:rsidP="00125B19">
            <w:pPr>
              <w:autoSpaceDE w:val="0"/>
              <w:autoSpaceDN w:val="0"/>
              <w:adjustRightInd w:val="0"/>
              <w:spacing w:line="360" w:lineRule="auto"/>
              <w:jc w:val="center"/>
              <w:rPr>
                <w:color w:val="000000" w:themeColor="text1"/>
                <w:sz w:val="22"/>
                <w:szCs w:val="22"/>
              </w:rPr>
            </w:pPr>
            <w:r w:rsidRPr="00F279AF">
              <w:rPr>
                <w:rFonts w:eastAsia="Times New Roman"/>
                <w:color w:val="000000" w:themeColor="text1"/>
                <w:sz w:val="22"/>
                <w:szCs w:val="22"/>
              </w:rPr>
              <w:t>7.4 (25)</w:t>
            </w:r>
          </w:p>
        </w:tc>
      </w:tr>
    </w:tbl>
    <w:p w14:paraId="1F32BAE4" w14:textId="77777777" w:rsidR="007B57B8" w:rsidRPr="00F279AF" w:rsidRDefault="007B57B8" w:rsidP="007B57B8">
      <w:pPr>
        <w:spacing w:line="360" w:lineRule="auto"/>
        <w:rPr>
          <w:color w:val="000000" w:themeColor="text1"/>
          <w:sz w:val="20"/>
          <w:szCs w:val="20"/>
        </w:rPr>
      </w:pPr>
      <w:r w:rsidRPr="00F279AF">
        <w:rPr>
          <w:i/>
          <w:color w:val="000000" w:themeColor="text1"/>
          <w:sz w:val="20"/>
          <w:szCs w:val="20"/>
        </w:rPr>
        <w:t>Note:</w:t>
      </w:r>
      <w:r w:rsidRPr="00F279AF">
        <w:rPr>
          <w:color w:val="000000" w:themeColor="text1"/>
          <w:sz w:val="20"/>
          <w:szCs w:val="20"/>
        </w:rPr>
        <w:t xml:space="preserve"> SD = standard deviation</w:t>
      </w:r>
    </w:p>
    <w:p w14:paraId="78389038" w14:textId="77777777" w:rsidR="007B57B8" w:rsidRPr="00F279AF" w:rsidRDefault="007B57B8" w:rsidP="007B57B8">
      <w:pPr>
        <w:pStyle w:val="Heading2"/>
        <w:rPr>
          <w:rFonts w:ascii="Times New Roman" w:hAnsi="Times New Roman"/>
          <w:b/>
          <w:color w:val="000000" w:themeColor="text1"/>
          <w:sz w:val="22"/>
          <w:szCs w:val="22"/>
        </w:rPr>
      </w:pPr>
      <w:r w:rsidRPr="00F279AF">
        <w:rPr>
          <w:rFonts w:ascii="Times New Roman" w:hAnsi="Times New Roman"/>
          <w:b/>
          <w:color w:val="000000" w:themeColor="text1"/>
          <w:sz w:val="22"/>
          <w:szCs w:val="22"/>
        </w:rPr>
        <w:t>Table II. Genomic features for cognitive frailty ranked by importance in model I and II</w:t>
      </w:r>
    </w:p>
    <w:p w14:paraId="2D01BAEB" w14:textId="77777777" w:rsidR="007B57B8" w:rsidRPr="00F279AF" w:rsidRDefault="007B57B8" w:rsidP="007B57B8">
      <w:pPr>
        <w:rPr>
          <w:i/>
          <w:color w:val="000000" w:themeColor="text1"/>
          <w:sz w:val="20"/>
          <w:szCs w:val="20"/>
        </w:rPr>
      </w:pPr>
      <w:r w:rsidRPr="00F279AF">
        <w:rPr>
          <w:i/>
          <w:noProof/>
          <w:color w:val="000000" w:themeColor="text1"/>
          <w:sz w:val="20"/>
          <w:szCs w:val="20"/>
        </w:rPr>
        <w:drawing>
          <wp:inline distT="0" distB="0" distL="0" distR="0" wp14:anchorId="029894A9" wp14:editId="328BC45A">
            <wp:extent cx="6854825" cy="27758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1-09 at 8.53.15 PM.png"/>
                    <pic:cNvPicPr/>
                  </pic:nvPicPr>
                  <pic:blipFill>
                    <a:blip r:embed="rId6"/>
                    <a:stretch>
                      <a:fillRect/>
                    </a:stretch>
                  </pic:blipFill>
                  <pic:spPr>
                    <a:xfrm>
                      <a:off x="0" y="0"/>
                      <a:ext cx="6909593" cy="2798035"/>
                    </a:xfrm>
                    <a:prstGeom prst="rect">
                      <a:avLst/>
                    </a:prstGeom>
                  </pic:spPr>
                </pic:pic>
              </a:graphicData>
            </a:graphic>
          </wp:inline>
        </w:drawing>
      </w:r>
    </w:p>
    <w:p w14:paraId="366C858A" w14:textId="77777777" w:rsidR="007B57B8" w:rsidRPr="00F279AF" w:rsidRDefault="007B57B8" w:rsidP="007B57B8">
      <w:pPr>
        <w:rPr>
          <w:color w:val="000000" w:themeColor="text1"/>
          <w:sz w:val="20"/>
          <w:szCs w:val="20"/>
        </w:rPr>
      </w:pPr>
      <w:r w:rsidRPr="00F279AF">
        <w:rPr>
          <w:i/>
          <w:color w:val="000000" w:themeColor="text1"/>
          <w:sz w:val="20"/>
          <w:szCs w:val="20"/>
        </w:rPr>
        <w:t>Note:</w:t>
      </w:r>
      <w:r w:rsidRPr="00F279AF">
        <w:rPr>
          <w:color w:val="000000" w:themeColor="text1"/>
          <w:sz w:val="20"/>
          <w:szCs w:val="20"/>
        </w:rPr>
        <w:t xml:space="preserve"> bold text indicates the closes gene, table represents statistically different genes between cognitive frailty and healthy controls; model results are ranked by importance defined by </w:t>
      </w:r>
      <w:r w:rsidRPr="00F279AF">
        <w:rPr>
          <w:color w:val="000000" w:themeColor="text1"/>
          <w:sz w:val="20"/>
          <w:szCs w:val="20"/>
          <w:shd w:val="clear" w:color="auto" w:fill="FFFFFF"/>
        </w:rPr>
        <w:t>gain; gain is the features importance in predicting cognitive frailty</w:t>
      </w:r>
      <w:r w:rsidRPr="00F279AF">
        <w:rPr>
          <w:b/>
          <w:color w:val="000000" w:themeColor="text1"/>
        </w:rPr>
        <w:br w:type="page"/>
      </w:r>
    </w:p>
    <w:p w14:paraId="7C4BD380" w14:textId="77777777" w:rsidR="007B57B8" w:rsidRPr="00F279AF" w:rsidRDefault="007B57B8" w:rsidP="007B57B8">
      <w:pPr>
        <w:rPr>
          <w:b/>
          <w:color w:val="000000" w:themeColor="text1"/>
          <w:sz w:val="20"/>
          <w:szCs w:val="20"/>
        </w:rPr>
      </w:pPr>
      <w:r w:rsidRPr="00F279AF">
        <w:rPr>
          <w:b/>
          <w:color w:val="000000" w:themeColor="text1"/>
          <w:sz w:val="20"/>
          <w:szCs w:val="20"/>
        </w:rPr>
        <w:lastRenderedPageBreak/>
        <w:t>Table III. Biomarkers found to be statistically significantly different between healthy controls and individuals with cognitive frailty based on MMSE ranked by importance (gain) from Model I</w:t>
      </w:r>
    </w:p>
    <w:p w14:paraId="03FDC393" w14:textId="77777777" w:rsidR="007B57B8" w:rsidRPr="00F279AF" w:rsidRDefault="007B57B8" w:rsidP="007B57B8">
      <w:pPr>
        <w:rPr>
          <w:color w:val="000000" w:themeColor="text1"/>
          <w:sz w:val="20"/>
          <w:szCs w:val="20"/>
        </w:rPr>
      </w:pPr>
      <w:bookmarkStart w:id="0" w:name="_GoBack"/>
      <w:r w:rsidRPr="00F279AF">
        <w:rPr>
          <w:b/>
          <w:noProof/>
          <w:color w:val="000000" w:themeColor="text1"/>
        </w:rPr>
        <w:drawing>
          <wp:inline distT="0" distB="0" distL="0" distR="0" wp14:anchorId="36F889F0" wp14:editId="2E808F20">
            <wp:extent cx="6546215" cy="791949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2-22 at 4.08.27 PM.png"/>
                    <pic:cNvPicPr/>
                  </pic:nvPicPr>
                  <pic:blipFill>
                    <a:blip r:embed="rId7">
                      <a:extLst>
                        <a:ext uri="{28A0092B-C50C-407E-A947-70E740481C1C}">
                          <a14:useLocalDpi xmlns:a14="http://schemas.microsoft.com/office/drawing/2010/main" val="0"/>
                        </a:ext>
                      </a:extLst>
                    </a:blip>
                    <a:stretch>
                      <a:fillRect/>
                    </a:stretch>
                  </pic:blipFill>
                  <pic:spPr>
                    <a:xfrm>
                      <a:off x="0" y="0"/>
                      <a:ext cx="6609482" cy="7996038"/>
                    </a:xfrm>
                    <a:prstGeom prst="rect">
                      <a:avLst/>
                    </a:prstGeom>
                  </pic:spPr>
                </pic:pic>
              </a:graphicData>
            </a:graphic>
          </wp:inline>
        </w:drawing>
      </w:r>
      <w:bookmarkEnd w:id="0"/>
    </w:p>
    <w:p w14:paraId="39448B6F" w14:textId="77777777" w:rsidR="007B57B8" w:rsidRPr="00F279AF" w:rsidRDefault="007B57B8" w:rsidP="007B57B8">
      <w:pPr>
        <w:rPr>
          <w:b/>
          <w:color w:val="000000" w:themeColor="text1"/>
        </w:rPr>
      </w:pPr>
      <w:r w:rsidRPr="00F279AF">
        <w:rPr>
          <w:color w:val="000000" w:themeColor="text1"/>
          <w:sz w:val="20"/>
          <w:szCs w:val="20"/>
        </w:rPr>
        <w:t xml:space="preserve">Note: Significant model results ranked by importance defined as gain with the univariate results, </w:t>
      </w:r>
      <w:r w:rsidRPr="00F279AF">
        <w:rPr>
          <w:color w:val="000000" w:themeColor="text1"/>
          <w:sz w:val="20"/>
          <w:szCs w:val="20"/>
          <w:shd w:val="clear" w:color="auto" w:fill="FFFFFF"/>
        </w:rPr>
        <w:t xml:space="preserve">gain is the features importance in predicting cognitive frailty. </w:t>
      </w:r>
    </w:p>
    <w:p w14:paraId="15A60189" w14:textId="77777777" w:rsidR="007B57B8" w:rsidRPr="00F279AF" w:rsidRDefault="007B57B8" w:rsidP="007B57B8">
      <w:pPr>
        <w:rPr>
          <w:color w:val="000000" w:themeColor="text1"/>
          <w:sz w:val="20"/>
          <w:szCs w:val="20"/>
        </w:rPr>
      </w:pPr>
      <w:r w:rsidRPr="00F279AF">
        <w:rPr>
          <w:b/>
          <w:color w:val="000000" w:themeColor="text1"/>
        </w:rPr>
        <w:br w:type="page"/>
      </w:r>
      <w:r w:rsidRPr="00F279AF">
        <w:rPr>
          <w:b/>
          <w:color w:val="000000" w:themeColor="text1"/>
          <w:sz w:val="20"/>
          <w:szCs w:val="20"/>
        </w:rPr>
        <w:lastRenderedPageBreak/>
        <w:t>Table IV. Biomarkers found to be statistically significantly different between healthy controls and individuals with cognitive frailty based on TMT-A and B ranked by importance (gain) from Model II</w:t>
      </w:r>
    </w:p>
    <w:p w14:paraId="1C95A0F0" w14:textId="77777777" w:rsidR="007B57B8" w:rsidRPr="00F279AF" w:rsidRDefault="007B57B8" w:rsidP="007B57B8">
      <w:pPr>
        <w:rPr>
          <w:b/>
          <w:color w:val="000000" w:themeColor="text1"/>
          <w:sz w:val="20"/>
          <w:szCs w:val="20"/>
        </w:rPr>
      </w:pPr>
      <w:r w:rsidRPr="00F279AF">
        <w:rPr>
          <w:b/>
          <w:noProof/>
          <w:color w:val="000000" w:themeColor="text1"/>
          <w:sz w:val="20"/>
          <w:szCs w:val="20"/>
        </w:rPr>
        <w:drawing>
          <wp:inline distT="0" distB="0" distL="0" distR="0" wp14:anchorId="17B6A09D" wp14:editId="025F40C5">
            <wp:extent cx="7040880" cy="845223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30 at 1.02.08 PM.png"/>
                    <pic:cNvPicPr/>
                  </pic:nvPicPr>
                  <pic:blipFill>
                    <a:blip r:embed="rId8">
                      <a:extLst>
                        <a:ext uri="{28A0092B-C50C-407E-A947-70E740481C1C}">
                          <a14:useLocalDpi xmlns:a14="http://schemas.microsoft.com/office/drawing/2010/main" val="0"/>
                        </a:ext>
                      </a:extLst>
                    </a:blip>
                    <a:stretch>
                      <a:fillRect/>
                    </a:stretch>
                  </pic:blipFill>
                  <pic:spPr>
                    <a:xfrm>
                      <a:off x="0" y="0"/>
                      <a:ext cx="7113980" cy="8539989"/>
                    </a:xfrm>
                    <a:prstGeom prst="rect">
                      <a:avLst/>
                    </a:prstGeom>
                  </pic:spPr>
                </pic:pic>
              </a:graphicData>
            </a:graphic>
          </wp:inline>
        </w:drawing>
      </w:r>
    </w:p>
    <w:p w14:paraId="334BEB8F" w14:textId="77777777" w:rsidR="007B57B8" w:rsidRDefault="007B57B8" w:rsidP="007B57B8">
      <w:pPr>
        <w:rPr>
          <w:color w:val="000000" w:themeColor="text1"/>
          <w:sz w:val="20"/>
          <w:szCs w:val="20"/>
        </w:rPr>
      </w:pPr>
      <w:r w:rsidRPr="00F279AF">
        <w:rPr>
          <w:color w:val="000000" w:themeColor="text1"/>
          <w:sz w:val="20"/>
          <w:szCs w:val="20"/>
        </w:rPr>
        <w:t xml:space="preserve">Note: Significant model results ranked by importance as defined by gain with the univariate results, </w:t>
      </w:r>
      <w:r w:rsidRPr="00F279AF">
        <w:rPr>
          <w:color w:val="000000" w:themeColor="text1"/>
          <w:sz w:val="20"/>
          <w:szCs w:val="20"/>
          <w:shd w:val="clear" w:color="auto" w:fill="FFFFFF"/>
        </w:rPr>
        <w:t>gain is the features importance in predicting cognitive frailty</w:t>
      </w:r>
      <w:r w:rsidRPr="00F279AF">
        <w:rPr>
          <w:color w:val="000000" w:themeColor="text1"/>
          <w:sz w:val="20"/>
          <w:szCs w:val="20"/>
        </w:rPr>
        <w:t>; NS = not significant</w:t>
      </w:r>
    </w:p>
    <w:p w14:paraId="4AC40AD7" w14:textId="77777777" w:rsidR="007B57B8" w:rsidRDefault="007B57B8" w:rsidP="00F824C4">
      <w:pPr>
        <w:spacing w:line="360" w:lineRule="auto"/>
        <w:rPr>
          <w:color w:val="000000" w:themeColor="text1"/>
          <w:sz w:val="22"/>
          <w:szCs w:val="22"/>
        </w:rPr>
      </w:pPr>
    </w:p>
    <w:bookmarkStart w:id="1" w:name="_MON_1619900235"/>
    <w:bookmarkEnd w:id="1"/>
    <w:p w14:paraId="701C0792" w14:textId="7E5B67F8" w:rsidR="00484271" w:rsidRPr="00B86B4D" w:rsidRDefault="00980178" w:rsidP="00F824C4">
      <w:pPr>
        <w:spacing w:line="360" w:lineRule="auto"/>
        <w:rPr>
          <w:color w:val="000000" w:themeColor="text1"/>
          <w:sz w:val="22"/>
          <w:szCs w:val="22"/>
          <w:shd w:val="clear" w:color="auto" w:fill="FFFFFF"/>
        </w:rPr>
      </w:pPr>
      <w:r>
        <w:rPr>
          <w:noProof/>
          <w:sz w:val="22"/>
          <w:szCs w:val="22"/>
        </w:rPr>
        <w:object w:dxaOrig="9360" w:dyaOrig="6200" w14:anchorId="13B07F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3pt;height:309.9pt;mso-width-percent:0;mso-height-percent:0;mso-width-percent:0;mso-height-percent:0" o:ole="">
            <v:imagedata r:id="rId9" o:title=""/>
          </v:shape>
          <o:OLEObject Type="Embed" ProgID="Word.Document.12" ShapeID="_x0000_i1025" DrawAspect="Content" ObjectID="_1622271208" r:id="rId10">
            <o:FieldCodes>\s</o:FieldCodes>
          </o:OLEObject>
        </w:object>
      </w:r>
    </w:p>
    <w:sectPr w:rsidR="00484271" w:rsidRPr="00B86B4D" w:rsidSect="007B57B8">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E4C0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8F146A3"/>
    <w:multiLevelType w:val="hybridMultilevel"/>
    <w:tmpl w:val="61C0881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5FF44CFE"/>
    <w:multiLevelType w:val="multilevel"/>
    <w:tmpl w:val="28F45D0E"/>
    <w:lvl w:ilvl="0">
      <w:start w:val="1"/>
      <w:numFmt w:val="decimal"/>
      <w:lvlText w:val="%1."/>
      <w:lvlJc w:val="left"/>
      <w:pPr>
        <w:ind w:left="720" w:hanging="360"/>
      </w:pPr>
      <w:rPr>
        <w:rFonts w:cs="Times New Roman" w:hint="default"/>
      </w:rPr>
    </w:lvl>
    <w:lvl w:ilvl="1">
      <w:start w:val="1"/>
      <w:numFmt w:val="decimal"/>
      <w:isLgl/>
      <w:lvlText w:val="%1.%2."/>
      <w:lvlJc w:val="left"/>
      <w:pPr>
        <w:ind w:left="720" w:hanging="36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088"/>
    <w:rsid w:val="00047077"/>
    <w:rsid w:val="00050E9D"/>
    <w:rsid w:val="000A7030"/>
    <w:rsid w:val="001700A7"/>
    <w:rsid w:val="001B10CB"/>
    <w:rsid w:val="001E500E"/>
    <w:rsid w:val="00472797"/>
    <w:rsid w:val="00484271"/>
    <w:rsid w:val="00492DA3"/>
    <w:rsid w:val="004E453C"/>
    <w:rsid w:val="004F68C3"/>
    <w:rsid w:val="0056183A"/>
    <w:rsid w:val="00564088"/>
    <w:rsid w:val="005C70DB"/>
    <w:rsid w:val="005F1C9E"/>
    <w:rsid w:val="006C4F23"/>
    <w:rsid w:val="006E01DE"/>
    <w:rsid w:val="006F7405"/>
    <w:rsid w:val="007B57B8"/>
    <w:rsid w:val="008D1AFD"/>
    <w:rsid w:val="00980178"/>
    <w:rsid w:val="009A3767"/>
    <w:rsid w:val="009C53B8"/>
    <w:rsid w:val="00AB057B"/>
    <w:rsid w:val="00AC3867"/>
    <w:rsid w:val="00AF1727"/>
    <w:rsid w:val="00B86B4D"/>
    <w:rsid w:val="00BD4B61"/>
    <w:rsid w:val="00BE5BEB"/>
    <w:rsid w:val="00DB7BB8"/>
    <w:rsid w:val="00E75219"/>
    <w:rsid w:val="00EB7A82"/>
    <w:rsid w:val="00F06B79"/>
    <w:rsid w:val="00F824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7CB92E"/>
  <w15:chartTrackingRefBased/>
  <w15:docId w15:val="{01E6C341-E039-F54B-9FC0-B4CCBC158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1C9E"/>
    <w:rPr>
      <w:rFonts w:ascii="Times New Roman" w:hAnsi="Times New Roman" w:cs="Times New Roman"/>
    </w:rPr>
  </w:style>
  <w:style w:type="paragraph" w:styleId="Heading2">
    <w:name w:val="heading 2"/>
    <w:basedOn w:val="Normal"/>
    <w:next w:val="Normal"/>
    <w:link w:val="Heading2Char"/>
    <w:uiPriority w:val="99"/>
    <w:qFormat/>
    <w:rsid w:val="007B57B8"/>
    <w:pPr>
      <w:keepNext/>
      <w:keepLines/>
      <w:spacing w:before="40"/>
      <w:outlineLvl w:val="1"/>
    </w:pPr>
    <w:rPr>
      <w:rFonts w:ascii="Calibri Light" w:eastAsia="Times New Roman"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E75219"/>
    <w:rPr>
      <w:rFonts w:cs="Times New Roman"/>
      <w:color w:val="0000FF"/>
      <w:u w:val="single"/>
    </w:rPr>
  </w:style>
  <w:style w:type="paragraph" w:styleId="ListParagraph">
    <w:name w:val="List Paragraph"/>
    <w:basedOn w:val="Normal"/>
    <w:uiPriority w:val="34"/>
    <w:qFormat/>
    <w:rsid w:val="00E75219"/>
    <w:pPr>
      <w:ind w:left="720"/>
      <w:contextualSpacing/>
    </w:pPr>
    <w:rPr>
      <w:rFonts w:ascii="Calibri" w:eastAsia="Calibri" w:hAnsi="Calibri"/>
    </w:rPr>
  </w:style>
  <w:style w:type="character" w:customStyle="1" w:styleId="Heading2Char">
    <w:name w:val="Heading 2 Char"/>
    <w:basedOn w:val="DefaultParagraphFont"/>
    <w:link w:val="Heading2"/>
    <w:uiPriority w:val="99"/>
    <w:rsid w:val="007B57B8"/>
    <w:rPr>
      <w:rFonts w:ascii="Calibri Light" w:eastAsia="Times New Roman" w:hAnsi="Calibri Light" w:cs="Times New Roman"/>
      <w:color w:val="2F5496"/>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www.sciencedirect.com/topics/neuroscience/biomarkers" TargetMode="External"/><Relationship Id="rId10" Type="http://schemas.openxmlformats.org/officeDocument/2006/relationships/package" Target="embeddings/Microsoft_Word_Document.docx"/><Relationship Id="rId4" Type="http://schemas.openxmlformats.org/officeDocument/2006/relationships/webSettings" Target="web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7</Pages>
  <Words>9923</Words>
  <Characters>56563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2019-05-03T11:11:00Z</dcterms:created>
  <dcterms:modified xsi:type="dcterms:W3CDTF">2019-06-17T14:07:00Z</dcterms:modified>
</cp:coreProperties>
</file>